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w:t>
      </w:r>
      <w:r>
        <w:rPr>
          <w:rFonts w:hint="eastAsia" w:eastAsia="宋体"/>
          <w:b/>
          <w:sz w:val="24"/>
          <w:lang w:val="en-US" w:eastAsia="zh-CN"/>
        </w:rPr>
        <w:t>405064</w:t>
      </w:r>
    </w:p>
    <w:p>
      <w:pPr>
        <w:pStyle w:val="73"/>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power boosting and/or MPR reduction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9.1.3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UE RF enhancements for NR FR1/FR2 and EN-DC, Phase 4, one of the objectives is about power boosting and/or MPR reduction as follows</w:t>
      </w:r>
      <w:r>
        <w:rPr>
          <w:rFonts w:hint="default"/>
          <w:i w:val="0"/>
          <w:iCs w:val="0"/>
          <w:sz w:val="20"/>
          <w:szCs w:val="20"/>
          <w:lang w:val="en-US" w:eastAsia="zh-CN"/>
        </w:rPr>
        <w:t>. In this contribution, we want to share some initial views.</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2"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2"/>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3" w:name="OLE_LINK11"/>
            <w:r>
              <w:rPr>
                <w:rFonts w:ascii="Times New Roman" w:hAnsi="Times New Roman" w:cs="Times New Roman"/>
                <w:sz w:val="20"/>
                <w:szCs w:val="20"/>
              </w:rPr>
              <w:t xml:space="preserve">MPR applicability based on the UL CCs with activated cells </w:t>
            </w:r>
            <w:bookmarkEnd w:id="3"/>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4" w:name="OLE_LINK13"/>
            <w:r>
              <w:rPr>
                <w:rFonts w:ascii="Times New Roman" w:hAnsi="Times New Roman" w:cs="Times New Roman"/>
                <w:sz w:val="20"/>
                <w:szCs w:val="20"/>
              </w:rPr>
              <w:t>SCell is activated</w:t>
            </w:r>
            <w:bookmarkEnd w:id="4"/>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2.1 Scenarios for MPR reduction</w:t>
      </w:r>
    </w:p>
    <w:p>
      <w:pPr>
        <w:rPr>
          <w:rFonts w:hint="eastAsia" w:cs="Times New Roman"/>
          <w:sz w:val="20"/>
          <w:szCs w:val="20"/>
          <w:lang w:val="en-US" w:eastAsia="zh-CN"/>
        </w:rPr>
      </w:pPr>
      <w:r>
        <w:rPr>
          <w:rFonts w:hint="eastAsia"/>
          <w:sz w:val="20"/>
          <w:szCs w:val="20"/>
          <w:lang w:val="en-US" w:eastAsia="zh-CN"/>
        </w:rPr>
        <w:t xml:space="preserve">In Rel-18, a reduction of MPR and enabling power boosting for PC2 and PC3 with QPSK were introduced, which is mainly for the inner region of a single UL carrier. In Rel-19, this WID aims to relax MPR limiting factors for FR1 on a single carrier, </w:t>
      </w:r>
      <w:r>
        <w:rPr>
          <w:rFonts w:ascii="Times New Roman" w:hAnsi="Times New Roman" w:cs="Times New Roman"/>
          <w:sz w:val="20"/>
          <w:szCs w:val="20"/>
        </w:rPr>
        <w:t>e.g.</w:t>
      </w:r>
      <w:r>
        <w:rPr>
          <w:rFonts w:hint="eastAsia" w:cs="Times New Roman"/>
          <w:sz w:val="20"/>
          <w:szCs w:val="20"/>
          <w:lang w:val="en-US" w:eastAsia="zh-CN"/>
        </w:rPr>
        <w:t xml:space="preserve"> ACLR, SEM,</w:t>
      </w:r>
      <w:bookmarkStart w:id="5" w:name="OLE_LINK1"/>
      <w:r>
        <w:rPr>
          <w:rFonts w:hint="eastAsia" w:cs="Times New Roman"/>
          <w:sz w:val="20"/>
          <w:szCs w:val="20"/>
          <w:lang w:val="en-US" w:eastAsia="zh-CN"/>
        </w:rPr>
        <w:t xml:space="preserve"> spurious emission </w:t>
      </w:r>
      <w:bookmarkEnd w:id="5"/>
      <w:r>
        <w:rPr>
          <w:rFonts w:hint="eastAsia" w:cs="Times New Roman"/>
          <w:sz w:val="20"/>
          <w:szCs w:val="20"/>
          <w:lang w:val="en-US" w:eastAsia="zh-CN"/>
        </w:rPr>
        <w:t>for further power enhancement. Based on the simulation results, SEM is the main limiting factor of MPR for outer and edge RB allocations with limited RBs, and for other cases of outer RB allocations, the major limiting factor is ACLR. Of course, this implies that the</w:t>
      </w:r>
      <w:bookmarkStart w:id="6" w:name="OLE_LINK2"/>
      <w:r>
        <w:rPr>
          <w:rFonts w:hint="eastAsia" w:cs="Times New Roman"/>
          <w:sz w:val="20"/>
          <w:szCs w:val="20"/>
          <w:lang w:val="en-US" w:eastAsia="zh-CN"/>
        </w:rPr>
        <w:t xml:space="preserve"> spurious emission requirements</w:t>
      </w:r>
      <w:bookmarkEnd w:id="6"/>
      <w:r>
        <w:rPr>
          <w:rFonts w:hint="eastAsia" w:cs="Times New Roman"/>
          <w:sz w:val="20"/>
          <w:szCs w:val="20"/>
          <w:lang w:val="en-US" w:eastAsia="zh-CN"/>
        </w:rPr>
        <w:t xml:space="preserve"> are still met. For </w:t>
      </w:r>
      <w:bookmarkStart w:id="7" w:name="OLE_LINK4"/>
      <w:r>
        <w:rPr>
          <w:rFonts w:hint="eastAsia" w:cs="Times New Roman"/>
          <w:sz w:val="20"/>
          <w:szCs w:val="20"/>
          <w:lang w:val="en-US" w:eastAsia="zh-CN"/>
        </w:rPr>
        <w:t>spurious emission requirements</w:t>
      </w:r>
      <w:bookmarkEnd w:id="7"/>
      <w:r>
        <w:rPr>
          <w:rFonts w:hint="eastAsia" w:cs="Times New Roman"/>
          <w:sz w:val="20"/>
          <w:szCs w:val="20"/>
          <w:lang w:val="en-US" w:eastAsia="zh-CN"/>
        </w:rPr>
        <w:t xml:space="preserve">, generally it comes from the regulatory body (like ITU-SM.329). From the BS test perspective, </w:t>
      </w:r>
      <w:bookmarkStart w:id="8" w:name="OLE_LINK3"/>
      <w:r>
        <w:rPr>
          <w:rFonts w:hint="eastAsia" w:cs="Times New Roman"/>
          <w:sz w:val="20"/>
          <w:szCs w:val="20"/>
          <w:lang w:val="en-US" w:eastAsia="zh-CN"/>
        </w:rPr>
        <w:t>TT (test tolerance)</w:t>
      </w:r>
      <w:bookmarkEnd w:id="8"/>
      <w:r>
        <w:rPr>
          <w:rFonts w:hint="eastAsia" w:cs="Times New Roman"/>
          <w:sz w:val="20"/>
          <w:szCs w:val="20"/>
          <w:lang w:val="en-US" w:eastAsia="zh-CN"/>
        </w:rPr>
        <w:t xml:space="preserve"> values are considered for SEM and ACLR, respectively. TT (test tolerance) means small relaxation is allowed considering the </w:t>
      </w:r>
      <w:bookmarkStart w:id="9" w:name="OLE_LINK5"/>
      <w:r>
        <w:rPr>
          <w:rFonts w:hint="eastAsia" w:cs="Times New Roman"/>
          <w:sz w:val="20"/>
          <w:szCs w:val="20"/>
          <w:lang w:val="en-US" w:eastAsia="zh-CN"/>
        </w:rPr>
        <w:t>test uncertainty</w:t>
      </w:r>
      <w:bookmarkEnd w:id="9"/>
      <w:r>
        <w:rPr>
          <w:rFonts w:hint="eastAsia" w:cs="Times New Roman"/>
          <w:sz w:val="20"/>
          <w:szCs w:val="20"/>
          <w:lang w:val="en-US" w:eastAsia="zh-CN"/>
        </w:rPr>
        <w:t xml:space="preserve">. However, no TT is allowed for spurious emission test requirements, which means it shall be mandatory to meet without any relaxation although there exists test uncertainty which is similar as SEM/ACLR. </w:t>
      </w:r>
    </w:p>
    <w:p>
      <w:pPr>
        <w:rPr>
          <w:rFonts w:hint="default" w:eastAsia="宋体" w:cs="v5.0.0"/>
          <w:sz w:val="20"/>
          <w:szCs w:val="20"/>
          <w:lang w:val="en-US" w:eastAsia="zh-CN"/>
        </w:rPr>
      </w:pPr>
      <w:r>
        <w:rPr>
          <w:rFonts w:hint="eastAsia" w:cs="Times New Roman"/>
          <w:sz w:val="20"/>
          <w:szCs w:val="20"/>
          <w:lang w:val="en-US" w:eastAsia="zh-CN"/>
        </w:rPr>
        <w:t>So we propose to focus on the modification of SEM or ACLR for FR1 on a single UL carrier. For spurious emission requirements, we don</w:t>
      </w:r>
      <w:r>
        <w:rPr>
          <w:rFonts w:hint="default" w:cs="Times New Roman"/>
          <w:sz w:val="20"/>
          <w:szCs w:val="20"/>
          <w:lang w:val="en-US" w:eastAsia="zh-CN"/>
        </w:rPr>
        <w:t>’</w:t>
      </w:r>
      <w:r>
        <w:rPr>
          <w:rFonts w:hint="eastAsia" w:cs="Times New Roman"/>
          <w:sz w:val="20"/>
          <w:szCs w:val="20"/>
          <w:lang w:val="en-US" w:eastAsia="zh-CN"/>
        </w:rPr>
        <w:t>t think it can be relaxed.</w:t>
      </w:r>
    </w:p>
    <w:p>
      <w:pPr>
        <w:rPr>
          <w:rFonts w:hint="eastAsia"/>
          <w:b/>
          <w:bCs/>
          <w:i/>
          <w:iCs/>
          <w:sz w:val="20"/>
          <w:szCs w:val="20"/>
          <w:lang w:val="en-US" w:eastAsia="zh-CN"/>
        </w:rPr>
      </w:pPr>
      <w:r>
        <w:rPr>
          <w:rFonts w:hint="eastAsia"/>
          <w:b/>
          <w:bCs/>
          <w:i/>
          <w:iCs/>
          <w:sz w:val="20"/>
          <w:szCs w:val="20"/>
          <w:lang w:val="en-US" w:eastAsia="zh-CN"/>
        </w:rPr>
        <w:t>Proposal 1: We propose to focus on the modification of SEM or ACLR for FR1 on a single UL carrier.</w:t>
      </w:r>
    </w:p>
    <w:p>
      <w:p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sz w:val="20"/>
          <w:szCs w:val="20"/>
          <w:lang w:val="en-US" w:eastAsia="zh-CN"/>
        </w:rPr>
        <w:t xml:space="preserve">According to the objectives, the </w:t>
      </w:r>
      <w:r>
        <w:rPr>
          <w:rFonts w:hint="eastAsia" w:ascii="Times New Roman" w:hAnsi="Times New Roman" w:cs="Times New Roman"/>
          <w:sz w:val="20"/>
          <w:szCs w:val="20"/>
        </w:rPr>
        <w:t>following</w:t>
      </w:r>
      <w:r>
        <w:rPr>
          <w:rFonts w:hint="eastAsia" w:cs="Times New Roman"/>
          <w:sz w:val="20"/>
          <w:szCs w:val="20"/>
          <w:lang w:val="en-US" w:eastAsia="zh-CN"/>
        </w:rPr>
        <w:t xml:space="preserve"> two</w:t>
      </w:r>
      <w:r>
        <w:rPr>
          <w:rFonts w:hint="eastAsia" w:ascii="Times New Roman" w:hAnsi="Times New Roman" w:cs="Times New Roman"/>
          <w:sz w:val="20"/>
          <w:szCs w:val="20"/>
        </w:rPr>
        <w:t xml:space="preserve"> scenarios</w:t>
      </w:r>
      <w:r>
        <w:rPr>
          <w:rFonts w:hint="eastAsia" w:cs="Times New Roman"/>
          <w:sz w:val="20"/>
          <w:szCs w:val="20"/>
          <w:lang w:val="en-US" w:eastAsia="zh-CN"/>
        </w:rPr>
        <w:t xml:space="preserve"> are considered</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p>
      <w:pPr>
        <w:rPr>
          <w:rFonts w:hint="eastAsia"/>
          <w:sz w:val="20"/>
          <w:szCs w:val="20"/>
          <w:lang w:val="en-US" w:eastAsia="zh-CN"/>
        </w:rPr>
      </w:pPr>
      <w:r>
        <w:rPr>
          <w:rFonts w:hint="eastAsia"/>
          <w:sz w:val="20"/>
          <w:szCs w:val="20"/>
          <w:lang w:val="en-US" w:eastAsia="zh-CN"/>
        </w:rPr>
        <w:t xml:space="preserve">For the first one, in our understanding, </w:t>
      </w:r>
      <w:bookmarkStart w:id="10" w:name="OLE_LINK9"/>
      <w:r>
        <w:rPr>
          <w:rFonts w:hint="default"/>
          <w:sz w:val="20"/>
          <w:szCs w:val="20"/>
          <w:lang w:val="en-US" w:eastAsia="zh-CN"/>
        </w:rPr>
        <w:t>‘</w:t>
      </w:r>
      <w:r>
        <w:rPr>
          <w:rFonts w:hint="eastAsia"/>
          <w:sz w:val="20"/>
          <w:szCs w:val="20"/>
          <w:lang w:val="en-US" w:eastAsia="zh-CN"/>
        </w:rPr>
        <w:t>no adjacent out-of-band co-existence issue</w:t>
      </w:r>
      <w:r>
        <w:rPr>
          <w:rFonts w:hint="default"/>
          <w:sz w:val="20"/>
          <w:szCs w:val="20"/>
          <w:lang w:val="en-US" w:eastAsia="zh-CN"/>
        </w:rPr>
        <w:t>’</w:t>
      </w:r>
      <w:bookmarkEnd w:id="10"/>
      <w:r>
        <w:rPr>
          <w:rFonts w:hint="eastAsia"/>
          <w:sz w:val="20"/>
          <w:szCs w:val="20"/>
          <w:lang w:val="en-US" w:eastAsia="zh-CN"/>
        </w:rPr>
        <w:t xml:space="preserve"> means there are no close frequency spectrum belonging to different operators, like band n41 deployment in China, where all the band n41 frequency spectrum is allocated for one operator. Also, </w:t>
      </w:r>
      <w:r>
        <w:rPr>
          <w:rFonts w:hint="default"/>
          <w:sz w:val="20"/>
          <w:szCs w:val="20"/>
          <w:lang w:val="en-US" w:eastAsia="zh-CN"/>
        </w:rPr>
        <w:t>‘</w:t>
      </w:r>
      <w:r>
        <w:rPr>
          <w:rFonts w:hint="eastAsia"/>
          <w:sz w:val="20"/>
          <w:szCs w:val="20"/>
          <w:lang w:val="en-US" w:eastAsia="zh-CN"/>
        </w:rPr>
        <w:t>no adjacent in-band co-existence issue</w:t>
      </w:r>
      <w:r>
        <w:rPr>
          <w:rFonts w:hint="default"/>
          <w:sz w:val="20"/>
          <w:szCs w:val="20"/>
          <w:lang w:val="en-US" w:eastAsia="zh-CN"/>
        </w:rPr>
        <w:t>’</w:t>
      </w:r>
      <w:r>
        <w:rPr>
          <w:rFonts w:hint="eastAsia"/>
          <w:sz w:val="20"/>
          <w:szCs w:val="20"/>
          <w:lang w:val="en-US" w:eastAsia="zh-CN"/>
        </w:rPr>
        <w:t xml:space="preserve"> means the in-band co-existence scheduled for different UE can be handled by the operator. In this case, it may be feasible to </w:t>
      </w:r>
      <w:bookmarkStart w:id="11" w:name="OLE_LINK10"/>
      <w:r>
        <w:rPr>
          <w:rFonts w:hint="eastAsia"/>
          <w:sz w:val="20"/>
          <w:szCs w:val="20"/>
          <w:lang w:val="en-US" w:eastAsia="zh-CN"/>
        </w:rPr>
        <w:t>relax UE ACLR/SEM requirement for further MPR boosting, how much ACLR/SEM can be relaxed needs more discussions such as co-existence study.</w:t>
      </w:r>
      <w:bookmarkEnd w:id="11"/>
      <w:r>
        <w:rPr>
          <w:rFonts w:hint="eastAsia"/>
          <w:sz w:val="20"/>
          <w:szCs w:val="20"/>
          <w:lang w:val="en-US" w:eastAsia="zh-CN"/>
        </w:rPr>
        <w:t xml:space="preserve"> </w:t>
      </w:r>
    </w:p>
    <w:p>
      <w:pPr>
        <w:rPr>
          <w:rFonts w:hint="eastAsia"/>
          <w:b w:val="0"/>
          <w:sz w:val="20"/>
          <w:szCs w:val="20"/>
          <w:lang w:val="en-US" w:eastAsia="zh-CN"/>
        </w:rPr>
      </w:pPr>
      <w:r>
        <w:rPr>
          <w:rFonts w:hint="eastAsia"/>
          <w:sz w:val="20"/>
          <w:szCs w:val="20"/>
          <w:lang w:val="en-US" w:eastAsia="zh-CN"/>
        </w:rPr>
        <w:t xml:space="preserve">In the annex, we share some simulation results of MPR with ACLR relaxation. From our simulation results, it can be observed that MPR reduction is about 0.3 - 0.4 dB for QPSK/ 16QAM for </w:t>
      </w:r>
      <w:r>
        <w:rPr>
          <w:rFonts w:hint="eastAsia" w:ascii="Times New Roman" w:hAnsi="Times New Roman" w:eastAsia="宋体"/>
          <w:b w:val="0"/>
          <w:sz w:val="20"/>
          <w:szCs w:val="20"/>
          <w:lang w:val="en-US" w:eastAsia="zh-CN"/>
        </w:rPr>
        <w:t>DFT-s-OFDM</w:t>
      </w:r>
      <w:r>
        <w:rPr>
          <w:rFonts w:hint="eastAsia"/>
          <w:b w:val="0"/>
          <w:sz w:val="20"/>
          <w:szCs w:val="20"/>
          <w:lang w:val="en-US" w:eastAsia="zh-CN"/>
        </w:rPr>
        <w:t>/ CP-OFDM when ACLR relaxes 1 dB. MPR reduction can reach 0.7 - 0.8 dB</w:t>
      </w:r>
      <w:r>
        <w:rPr>
          <w:rFonts w:hint="eastAsia"/>
          <w:sz w:val="20"/>
          <w:szCs w:val="20"/>
          <w:lang w:val="en-US" w:eastAsia="zh-CN"/>
        </w:rPr>
        <w:t xml:space="preserve"> for QPSK/ 16QAM for </w:t>
      </w:r>
      <w:r>
        <w:rPr>
          <w:rFonts w:hint="eastAsia" w:ascii="Times New Roman" w:hAnsi="Times New Roman" w:eastAsia="宋体"/>
          <w:b w:val="0"/>
          <w:sz w:val="20"/>
          <w:szCs w:val="20"/>
          <w:lang w:val="en-US" w:eastAsia="zh-CN"/>
        </w:rPr>
        <w:t>DFT-s-OFDM</w:t>
      </w:r>
      <w:r>
        <w:rPr>
          <w:rFonts w:hint="eastAsia"/>
          <w:b w:val="0"/>
          <w:sz w:val="20"/>
          <w:szCs w:val="20"/>
          <w:lang w:val="en-US" w:eastAsia="zh-CN"/>
        </w:rPr>
        <w:t>/ CP-OFDM when ACLR is relaxed by 2 dB.</w:t>
      </w:r>
    </w:p>
    <w:p>
      <w:pPr>
        <w:rPr>
          <w:rFonts w:hint="eastAsia"/>
          <w:b/>
          <w:bCs/>
          <w:i/>
          <w:iCs/>
          <w:sz w:val="20"/>
          <w:szCs w:val="20"/>
          <w:lang w:val="en-US" w:eastAsia="zh-CN"/>
        </w:rPr>
      </w:pPr>
      <w:r>
        <w:rPr>
          <w:rFonts w:hint="eastAsia"/>
          <w:b/>
          <w:bCs/>
          <w:i/>
          <w:iCs/>
          <w:sz w:val="20"/>
          <w:szCs w:val="20"/>
          <w:lang w:val="en-US" w:eastAsia="zh-CN"/>
        </w:rPr>
        <w:t xml:space="preserve">Observation 1: From our simulation results, it can be observed that MPR reduction is about 0.3 - 0.4 dB for QPSK/ 16QAM for </w:t>
      </w:r>
      <w:r>
        <w:rPr>
          <w:rFonts w:hint="eastAsia" w:ascii="Times New Roman" w:hAnsi="Times New Roman" w:eastAsia="宋体"/>
          <w:b/>
          <w:bCs/>
          <w:i/>
          <w:iCs/>
          <w:sz w:val="20"/>
          <w:szCs w:val="20"/>
          <w:lang w:val="en-US" w:eastAsia="zh-CN"/>
        </w:rPr>
        <w:t>DFT-s-OFDM</w:t>
      </w:r>
      <w:r>
        <w:rPr>
          <w:rFonts w:hint="eastAsia"/>
          <w:b/>
          <w:bCs/>
          <w:i/>
          <w:iCs/>
          <w:sz w:val="20"/>
          <w:szCs w:val="20"/>
          <w:lang w:val="en-US" w:eastAsia="zh-CN"/>
        </w:rPr>
        <w:t xml:space="preserve">/ CP-OFDM when ACLR relaxes 1 dB. MPR reduction can reach 0.7 - 0.8 dB for QPSK/ 16QAM for </w:t>
      </w:r>
      <w:r>
        <w:rPr>
          <w:rFonts w:hint="eastAsia" w:ascii="Times New Roman" w:hAnsi="Times New Roman" w:eastAsia="宋体"/>
          <w:b/>
          <w:bCs/>
          <w:i/>
          <w:iCs/>
          <w:sz w:val="20"/>
          <w:szCs w:val="20"/>
          <w:lang w:val="en-US" w:eastAsia="zh-CN"/>
        </w:rPr>
        <w:t>DFT-s-OFDM</w:t>
      </w:r>
      <w:r>
        <w:rPr>
          <w:rFonts w:hint="eastAsia"/>
          <w:b/>
          <w:bCs/>
          <w:i/>
          <w:iCs/>
          <w:sz w:val="20"/>
          <w:szCs w:val="20"/>
          <w:lang w:val="en-US" w:eastAsia="zh-CN"/>
        </w:rPr>
        <w:t>/ CP-OFDM when ACLR is relaxed by 2 dB.</w:t>
      </w:r>
    </w:p>
    <w:p>
      <w:pPr>
        <w:rPr>
          <w:rFonts w:hint="default"/>
          <w:b w:val="0"/>
          <w:sz w:val="20"/>
          <w:szCs w:val="20"/>
          <w:lang w:val="en-US" w:eastAsia="zh-CN"/>
        </w:rPr>
      </w:pPr>
      <w:r>
        <w:rPr>
          <w:rFonts w:hint="eastAsia"/>
          <w:b/>
          <w:bCs/>
          <w:i/>
          <w:iCs/>
          <w:sz w:val="20"/>
          <w:szCs w:val="20"/>
          <w:lang w:val="en-US" w:eastAsia="zh-CN"/>
        </w:rPr>
        <w:t>Proposal 2: Relax UE ACLR/SEM requirement can be further MPR boosting, how much ACLR/SEM can be relaxed needs more discussions such as co-existence study.</w:t>
      </w:r>
    </w:p>
    <w:p>
      <w:pPr>
        <w:rPr>
          <w:rFonts w:hint="default"/>
          <w:sz w:val="20"/>
          <w:szCs w:val="20"/>
          <w:lang w:val="en-US" w:eastAsia="zh-CN"/>
        </w:rPr>
      </w:pPr>
      <w:r>
        <w:rPr>
          <w:rFonts w:hint="eastAsia"/>
          <w:sz w:val="20"/>
          <w:szCs w:val="20"/>
          <w:lang w:val="en-US" w:eastAsia="zh-CN"/>
        </w:rPr>
        <w:t xml:space="preserve">For the second one, the existing ACLR and SEM requirements apply from the edge of UE channel bandwidth. When a UE uses a narrower channel bandwidth within a wider BS bandwidth, there is additional room to improve UE Tx power through shifting the applied starting point of ACLR and SEM requirement, which can enable reduction of MPR. With regard to the scenarios for FR1, there are two scenarios should be considered as raised in [2], which are illustrated in the following two figures. One is depicted in Figure 1, where UE channel bandwidth locates in the leftmost/rightmost of BS channel bandwidth and only one side starting point of ACLR, SEM domain can be shifted by 20 MHz from the edge of UE CBW. The other, as seen in Figure 2, is that ACLR and SEM domain on both sides can be relaxed by 10 MHz. By saying that, we think the ACLR out of the BS channel bandwidth cannot be relaxed due to the fact that the ACLR value are used for other regulatory bodies. </w:t>
      </w:r>
    </w:p>
    <w:p>
      <w:pPr>
        <w:jc w:val="center"/>
        <w:rPr>
          <w:rFonts w:hint="eastAsia"/>
          <w:lang w:val="en-US" w:eastAsia="zh-CN"/>
        </w:rPr>
      </w:pPr>
      <w:r>
        <w:rPr>
          <w:rFonts w:hint="eastAsia"/>
          <w:lang w:val="en-US" w:eastAsia="zh-CN"/>
        </w:rPr>
        <w:drawing>
          <wp:inline distT="0" distB="0" distL="114300" distR="114300">
            <wp:extent cx="4260215" cy="948055"/>
            <wp:effectExtent l="0" t="0" r="6985" b="12065"/>
            <wp:docPr id="2" name="图片 2" descr="D:\Users\00327441\Desktop\RAN4 meeting\110bis\tdocs\scenario 1.pngscenari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00327441\Desktop\RAN4 meeting\110bis\tdocs\scenario 1.pngscenario 1"/>
                    <pic:cNvPicPr>
                      <a:picLocks noChangeAspect="1"/>
                    </pic:cNvPicPr>
                  </pic:nvPicPr>
                  <pic:blipFill>
                    <a:blip r:embed="rId12"/>
                    <a:srcRect/>
                    <a:stretch>
                      <a:fillRect/>
                    </a:stretch>
                  </pic:blipFill>
                  <pic:spPr>
                    <a:xfrm>
                      <a:off x="0" y="0"/>
                      <a:ext cx="4260215" cy="948055"/>
                    </a:xfrm>
                    <a:prstGeom prst="rect">
                      <a:avLst/>
                    </a:prstGeom>
                  </pic:spPr>
                </pic:pic>
              </a:graphicData>
            </a:graphic>
          </wp:inline>
        </w:drawing>
      </w:r>
    </w:p>
    <w:p>
      <w:pPr>
        <w:jc w:val="center"/>
        <w:rPr>
          <w:rFonts w:hint="default"/>
          <w:b/>
          <w:bCs/>
          <w:sz w:val="20"/>
          <w:szCs w:val="18"/>
          <w:lang w:val="en-US" w:eastAsia="zh-CN"/>
        </w:rPr>
      </w:pPr>
      <w:r>
        <w:rPr>
          <w:rFonts w:hint="eastAsia"/>
          <w:b/>
          <w:bCs/>
          <w:sz w:val="20"/>
          <w:szCs w:val="18"/>
          <w:lang w:val="en-US" w:eastAsia="zh-CN"/>
        </w:rPr>
        <w:t>Figure 1: FR1 Scenario 1: Relax one side</w:t>
      </w:r>
    </w:p>
    <w:p>
      <w:pPr>
        <w:jc w:val="center"/>
        <w:rPr>
          <w:rFonts w:hint="eastAsia"/>
          <w:lang w:val="en-US" w:eastAsia="zh-CN"/>
        </w:rPr>
      </w:pPr>
      <w:r>
        <w:rPr>
          <w:rFonts w:hint="eastAsia"/>
          <w:lang w:val="en-US" w:eastAsia="zh-CN"/>
        </w:rPr>
        <w:drawing>
          <wp:inline distT="0" distB="0" distL="114300" distR="114300">
            <wp:extent cx="3882390" cy="945515"/>
            <wp:effectExtent l="0" t="0" r="0" b="14605"/>
            <wp:docPr id="3" name="图片 3" descr="D:\Users\00327441\Desktop\RAN4 meeting\110bis\tdocs\scenario 2.pngscenari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Users\00327441\Desktop\RAN4 meeting\110bis\tdocs\scenario 2.pngscenario 2"/>
                    <pic:cNvPicPr>
                      <a:picLocks noChangeAspect="1"/>
                    </pic:cNvPicPr>
                  </pic:nvPicPr>
                  <pic:blipFill>
                    <a:blip r:embed="rId13"/>
                    <a:srcRect/>
                    <a:stretch>
                      <a:fillRect/>
                    </a:stretch>
                  </pic:blipFill>
                  <pic:spPr>
                    <a:xfrm>
                      <a:off x="0" y="0"/>
                      <a:ext cx="3882390" cy="945515"/>
                    </a:xfrm>
                    <a:prstGeom prst="rect">
                      <a:avLst/>
                    </a:prstGeom>
                  </pic:spPr>
                </pic:pic>
              </a:graphicData>
            </a:graphic>
          </wp:inline>
        </w:drawing>
      </w:r>
    </w:p>
    <w:p>
      <w:pPr>
        <w:jc w:val="center"/>
        <w:rPr>
          <w:rFonts w:hint="eastAsia"/>
          <w:b/>
          <w:bCs/>
          <w:sz w:val="20"/>
          <w:szCs w:val="18"/>
          <w:lang w:val="en-US" w:eastAsia="zh-CN"/>
        </w:rPr>
      </w:pPr>
      <w:r>
        <w:rPr>
          <w:rFonts w:hint="eastAsia"/>
          <w:b/>
          <w:bCs/>
          <w:sz w:val="20"/>
          <w:szCs w:val="18"/>
          <w:lang w:val="en-US" w:eastAsia="zh-CN"/>
        </w:rPr>
        <w:t>Figure 2: FR1 Scenario 2: Relax both sides</w:t>
      </w:r>
    </w:p>
    <w:p>
      <w:pPr>
        <w:rPr>
          <w:rFonts w:hint="default"/>
          <w:b/>
          <w:bCs/>
          <w:i/>
          <w:iCs/>
          <w:sz w:val="20"/>
          <w:szCs w:val="20"/>
          <w:lang w:val="en-US" w:eastAsia="zh-CN"/>
        </w:rPr>
      </w:pPr>
      <w:r>
        <w:rPr>
          <w:rFonts w:hint="eastAsia"/>
          <w:b/>
          <w:bCs/>
          <w:i/>
          <w:iCs/>
          <w:sz w:val="20"/>
          <w:szCs w:val="20"/>
          <w:lang w:val="en-US" w:eastAsia="zh-CN"/>
        </w:rPr>
        <w:t xml:space="preserve">Proposal 3: For FR1, there are two scenarios should be considered: relaxing one side starting point of ACLR, SEM domain, and relaxing both sides. </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 xml:space="preserve">2.2 MPR applicability based on the UL CCs with activated cells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bookmarkStart w:id="12" w:name="OLE_LINK12"/>
      <w:bookmarkStart w:id="13" w:name="OLE_LINK23"/>
      <w:bookmarkStart w:id="14" w:name="OLE_LINK66"/>
      <w:bookmarkStart w:id="15" w:name="OLE_LINK50"/>
      <w:r>
        <w:rPr>
          <w:rFonts w:hint="eastAsia"/>
          <w:i w:val="0"/>
          <w:iCs w:val="0"/>
          <w:sz w:val="20"/>
          <w:szCs w:val="20"/>
          <w:lang w:val="en-US" w:eastAsia="zh-CN"/>
        </w:rPr>
        <w:t>FR1 intra-band UL CC</w:t>
      </w:r>
    </w:p>
    <w:bookmarkEnd w:id="12"/>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When all of the UL CC are configured by NW and no UL Scell is deactivated, then the current MPR requirements for intra-band UL CA remain unchanged.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cs="Times New Roman"/>
          <w:iCs/>
          <w:sz w:val="20"/>
          <w:szCs w:val="20"/>
          <w:lang w:val="en-US" w:eastAsia="zh-CN"/>
        </w:rPr>
      </w:pPr>
      <w:r>
        <w:rPr>
          <w:rFonts w:hint="eastAsia"/>
          <w:i w:val="0"/>
          <w:iCs w:val="0"/>
          <w:sz w:val="20"/>
          <w:szCs w:val="20"/>
          <w:lang w:val="en-US" w:eastAsia="zh-CN"/>
        </w:rPr>
        <w:t xml:space="preserve">When the </w:t>
      </w:r>
      <w:bookmarkStart w:id="16" w:name="OLE_LINK40"/>
      <w:r>
        <w:rPr>
          <w:rFonts w:hint="eastAsia"/>
          <w:i w:val="0"/>
          <w:iCs w:val="0"/>
          <w:sz w:val="20"/>
          <w:szCs w:val="20"/>
          <w:lang w:val="en-US" w:eastAsia="zh-CN"/>
        </w:rPr>
        <w:t>UL Scell is deactivated</w:t>
      </w:r>
      <w:bookmarkEnd w:id="16"/>
      <w:r>
        <w:rPr>
          <w:rFonts w:hint="eastAsia"/>
          <w:i w:val="0"/>
          <w:iCs w:val="0"/>
          <w:sz w:val="20"/>
          <w:szCs w:val="20"/>
          <w:lang w:val="en-US" w:eastAsia="zh-CN"/>
        </w:rPr>
        <w:t xml:space="preserve">, considering that currently only up to 2CCs are supported in the UL for FR1 intra-band UL CA, then it is reasonable to </w:t>
      </w:r>
      <w:r>
        <w:rPr>
          <w:rFonts w:ascii="Times New Roman" w:hAnsi="Times New Roman" w:cs="Times New Roman"/>
          <w:iCs/>
          <w:sz w:val="20"/>
          <w:szCs w:val="20"/>
          <w:lang w:eastAsia="zh-CN"/>
        </w:rPr>
        <w:t>follow the MPR requirements of single CC operation</w:t>
      </w:r>
      <w:r>
        <w:rPr>
          <w:rFonts w:hint="eastAsia" w:cs="Times New Roman"/>
          <w:iCs/>
          <w:sz w:val="20"/>
          <w:szCs w:val="20"/>
          <w:lang w:val="en-US" w:eastAsia="zh-CN"/>
        </w:rPr>
        <w:t xml:space="preserve"> to allow for higher transmission output power with lower MPR requirements, provided no new evaluation are carried out for the new MPR requirements. </w:t>
      </w:r>
    </w:p>
    <w:p>
      <w:pPr>
        <w:keepNext w:val="0"/>
        <w:keepLines w:val="0"/>
        <w:widowControl/>
        <w:suppressLineNumbers w:val="0"/>
        <w:jc w:val="both"/>
        <w:rPr>
          <w:rFonts w:hint="default" w:eastAsia="宋体"/>
          <w:sz w:val="20"/>
          <w:highlight w:val="none"/>
          <w:lang w:val="en-US" w:eastAsia="zh-CN"/>
        </w:rPr>
      </w:pPr>
      <w:r>
        <w:rPr>
          <w:rFonts w:hint="eastAsia" w:cs="Times New Roman"/>
          <w:iCs/>
          <w:sz w:val="20"/>
          <w:szCs w:val="20"/>
          <w:highlight w:val="none"/>
          <w:lang w:val="en-US" w:eastAsia="zh-CN"/>
        </w:rPr>
        <w:t xml:space="preserve">Although the MPR for intra-band UL CA is defined based on the capability of </w:t>
      </w:r>
      <w:r>
        <w:rPr>
          <w:rFonts w:hint="default" w:ascii="Times New Roman" w:hAnsi="Times New Roman" w:eastAsia="宋体" w:cs="Times New Roman"/>
          <w:i/>
          <w:iCs/>
          <w:color w:val="000000"/>
          <w:kern w:val="0"/>
          <w:sz w:val="20"/>
          <w:szCs w:val="20"/>
          <w:highlight w:val="none"/>
          <w:lang w:val="en-US" w:eastAsia="zh-CN" w:bidi="ar"/>
        </w:rPr>
        <w:t xml:space="preserve">dualPA-Architecture </w:t>
      </w:r>
      <w:r>
        <w:rPr>
          <w:rFonts w:hint="default" w:ascii="Times New Roman" w:hAnsi="Times New Roman" w:eastAsia="宋体" w:cs="Times New Roman"/>
          <w:color w:val="000000"/>
          <w:kern w:val="0"/>
          <w:sz w:val="20"/>
          <w:szCs w:val="20"/>
          <w:highlight w:val="none"/>
          <w:lang w:val="en-US" w:eastAsia="zh-CN" w:bidi="ar"/>
        </w:rPr>
        <w:t>IE,</w:t>
      </w:r>
      <w:r>
        <w:rPr>
          <w:rFonts w:hint="eastAsia" w:ascii="Times New Roman" w:hAnsi="Times New Roman" w:eastAsia="宋体" w:cs="Times New Roman"/>
          <w:color w:val="000000"/>
          <w:kern w:val="0"/>
          <w:sz w:val="20"/>
          <w:szCs w:val="20"/>
          <w:highlight w:val="none"/>
          <w:lang w:val="en-US" w:eastAsia="zh-CN" w:bidi="ar"/>
        </w:rPr>
        <w:t xml:space="preserve"> this capability would be invalid when the </w:t>
      </w:r>
      <w:r>
        <w:rPr>
          <w:rFonts w:hint="eastAsia"/>
          <w:i w:val="0"/>
          <w:iCs w:val="0"/>
          <w:sz w:val="20"/>
          <w:szCs w:val="20"/>
          <w:highlight w:val="none"/>
          <w:lang w:val="en-US" w:eastAsia="zh-CN"/>
        </w:rPr>
        <w:t>UL Scell is deactivated and UL is single carrier, since the only 1 PA works. In current specification, for PC 2 intra-band contiguous CA, MPR is specified for PC</w:t>
      </w:r>
      <w:r>
        <w:rPr>
          <w:rFonts w:hint="eastAsia"/>
          <w:sz w:val="20"/>
          <w:highlight w:val="none"/>
        </w:rPr>
        <w:t xml:space="preserve"> 2 CA bandwidth classes B and C when the signalling is absent for dualPA-Architecture IE, and for </w:t>
      </w:r>
      <w:r>
        <w:rPr>
          <w:rFonts w:hint="eastAsia"/>
          <w:sz w:val="20"/>
          <w:highlight w:val="none"/>
          <w:lang w:val="en-US" w:eastAsia="zh-CN"/>
        </w:rPr>
        <w:t>PC</w:t>
      </w:r>
      <w:r>
        <w:rPr>
          <w:rFonts w:hint="eastAsia"/>
          <w:sz w:val="20"/>
          <w:highlight w:val="none"/>
        </w:rPr>
        <w:t xml:space="preserve"> 2 CA bandwidth classe C when the signalling is indicated for dualPA-Architecture IE.</w:t>
      </w:r>
      <w:r>
        <w:rPr>
          <w:rFonts w:hint="eastAsia"/>
          <w:sz w:val="20"/>
          <w:highlight w:val="none"/>
          <w:lang w:val="en-US" w:eastAsia="zh-CN"/>
        </w:rPr>
        <w:t xml:space="preserve"> For PC 2 and PC 3 intra-band non-contiguous CA, there are two categories of MPR: one </w:t>
      </w:r>
      <w:r>
        <w:rPr>
          <w:rFonts w:hint="eastAsia"/>
          <w:sz w:val="20"/>
          <w:highlight w:val="none"/>
        </w:rPr>
        <w:t>with</w:t>
      </w:r>
      <w:r>
        <w:rPr>
          <w:rFonts w:hint="eastAsia"/>
          <w:sz w:val="20"/>
          <w:highlight w:val="none"/>
          <w:lang w:val="en-US" w:eastAsia="zh-CN"/>
        </w:rPr>
        <w:t xml:space="preserve"> </w:t>
      </w:r>
      <w:r>
        <w:rPr>
          <w:rFonts w:hint="eastAsia"/>
          <w:sz w:val="20"/>
          <w:highlight w:val="none"/>
        </w:rPr>
        <w:t>indicat</w:t>
      </w:r>
      <w:r>
        <w:rPr>
          <w:rFonts w:hint="eastAsia"/>
          <w:sz w:val="20"/>
          <w:highlight w:val="none"/>
          <w:lang w:val="en-US" w:eastAsia="zh-CN"/>
        </w:rPr>
        <w:t>ion of</w:t>
      </w:r>
      <w:r>
        <w:rPr>
          <w:rFonts w:hint="eastAsia"/>
          <w:sz w:val="20"/>
          <w:highlight w:val="none"/>
        </w:rPr>
        <w:t xml:space="preserve"> dualPA-Architecture support</w:t>
      </w:r>
      <w:r>
        <w:rPr>
          <w:rFonts w:hint="eastAsia"/>
          <w:sz w:val="20"/>
          <w:highlight w:val="none"/>
          <w:lang w:val="en-US" w:eastAsia="zh-CN"/>
        </w:rPr>
        <w:t xml:space="preserve"> and one without. According to TS 38.306 as follows, if </w:t>
      </w:r>
      <w:r>
        <w:rPr>
          <w:rFonts w:hint="default" w:ascii="Times New Roman" w:hAnsi="Times New Roman" w:eastAsia="宋体" w:cs="Times New Roman"/>
          <w:i/>
          <w:iCs/>
          <w:color w:val="000000"/>
          <w:kern w:val="0"/>
          <w:sz w:val="20"/>
          <w:szCs w:val="20"/>
          <w:highlight w:val="none"/>
          <w:lang w:val="en-US" w:eastAsia="zh-CN" w:bidi="ar"/>
        </w:rPr>
        <w:t xml:space="preserve">dualPA-Architecture </w:t>
      </w:r>
      <w:r>
        <w:rPr>
          <w:rFonts w:hint="default" w:ascii="Times New Roman" w:hAnsi="Times New Roman" w:eastAsia="宋体" w:cs="Times New Roman"/>
          <w:color w:val="000000"/>
          <w:kern w:val="0"/>
          <w:sz w:val="20"/>
          <w:szCs w:val="20"/>
          <w:highlight w:val="none"/>
          <w:lang w:val="en-US" w:eastAsia="zh-CN" w:bidi="ar"/>
        </w:rPr>
        <w:t>IE</w:t>
      </w:r>
      <w:r>
        <w:rPr>
          <w:rFonts w:hint="eastAsia" w:cs="Times New Roman"/>
          <w:color w:val="000000"/>
          <w:kern w:val="0"/>
          <w:sz w:val="20"/>
          <w:szCs w:val="20"/>
          <w:highlight w:val="none"/>
          <w:lang w:val="en-US" w:eastAsia="zh-CN" w:bidi="ar"/>
        </w:rPr>
        <w:t xml:space="preserve"> is</w:t>
      </w:r>
      <w:r>
        <w:rPr>
          <w:rFonts w:hint="eastAsia"/>
          <w:sz w:val="20"/>
          <w:highlight w:val="none"/>
        </w:rPr>
        <w:t xml:space="preserve"> absent in band combinations</w:t>
      </w:r>
      <w:r>
        <w:rPr>
          <w:rFonts w:hint="eastAsia"/>
          <w:sz w:val="20"/>
          <w:highlight w:val="none"/>
          <w:lang w:val="en-US" w:eastAsia="zh-CN"/>
        </w:rPr>
        <w:t xml:space="preserve"> with </w:t>
      </w:r>
      <w:r>
        <w:rPr>
          <w:rFonts w:hint="eastAsia"/>
          <w:sz w:val="20"/>
          <w:highlight w:val="none"/>
        </w:rPr>
        <w:t>single-band with UL CA, the UE supports single PA and single LO frequency for all the ULs for FR1</w:t>
      </w:r>
      <w:r>
        <w:rPr>
          <w:rFonts w:hint="eastAsia"/>
          <w:sz w:val="20"/>
          <w:highlight w:val="none"/>
          <w:lang w:val="en-US" w:eastAsia="zh-CN"/>
        </w:rPr>
        <w:t xml:space="preserve">. Based on the above, it is proposed that for </w:t>
      </w:r>
      <w:r>
        <w:rPr>
          <w:rFonts w:hint="eastAsia" w:cs="Times New Roman"/>
          <w:iCs/>
          <w:sz w:val="20"/>
          <w:szCs w:val="20"/>
          <w:highlight w:val="none"/>
          <w:lang w:val="en-US" w:eastAsia="zh-CN"/>
        </w:rPr>
        <w:t xml:space="preserve">intra-band UL CA without </w:t>
      </w:r>
      <w:r>
        <w:rPr>
          <w:rFonts w:hint="eastAsia"/>
          <w:sz w:val="20"/>
          <w:highlight w:val="none"/>
        </w:rPr>
        <w:t>indicating dualPA-Architecture support</w:t>
      </w:r>
      <w:r>
        <w:rPr>
          <w:rFonts w:hint="eastAsia"/>
          <w:sz w:val="20"/>
          <w:highlight w:val="none"/>
          <w:lang w:val="en-US" w:eastAsia="zh-CN"/>
        </w:rPr>
        <w:t xml:space="preserve">, </w:t>
      </w:r>
      <w:r>
        <w:rPr>
          <w:rFonts w:ascii="Times New Roman" w:hAnsi="Times New Roman" w:cs="Times New Roman"/>
          <w:iCs/>
          <w:sz w:val="20"/>
          <w:szCs w:val="20"/>
          <w:lang w:eastAsia="zh-CN"/>
        </w:rPr>
        <w:t>the MPR requirements of single CC operation</w:t>
      </w:r>
      <w:r>
        <w:rPr>
          <w:rFonts w:hint="eastAsia" w:cs="Times New Roman"/>
          <w:iCs/>
          <w:sz w:val="20"/>
          <w:szCs w:val="20"/>
          <w:lang w:val="en-US" w:eastAsia="zh-CN"/>
        </w:rPr>
        <w:t xml:space="preserve"> for PC 2 and PC 3 can be followed</w:t>
      </w:r>
      <w:r>
        <w:rPr>
          <w:rFonts w:hint="eastAsia"/>
          <w:iCs/>
          <w:sz w:val="20"/>
        </w:rPr>
        <w:t xml:space="preserve"> when the UL Scell is deactivated</w:t>
      </w:r>
      <w:r>
        <w:rPr>
          <w:rFonts w:hint="eastAsia" w:cs="Times New Roman"/>
          <w:iCs/>
          <w:sz w:val="20"/>
          <w:szCs w:val="20"/>
          <w:lang w:val="en-US" w:eastAsia="zh-CN"/>
        </w:rPr>
        <w:t>.</w:t>
      </w:r>
    </w:p>
    <w:tbl>
      <w:tblPr>
        <w:tblStyle w:val="23"/>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8"/>
              <w:rPr>
                <w:b/>
                <w:i/>
              </w:rPr>
            </w:pPr>
            <w:r>
              <w:rPr>
                <w:b/>
                <w:i/>
              </w:rPr>
              <w:t>dualPA-Architecture</w:t>
            </w:r>
          </w:p>
          <w:p>
            <w:pPr>
              <w:pStyle w:val="58"/>
              <w:rPr>
                <w:b/>
                <w:i/>
              </w:rPr>
            </w:pPr>
            <w: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pPr>
              <w:pStyle w:val="58"/>
              <w:jc w:val="center"/>
              <w:rPr>
                <w:lang w:eastAsia="ko-KR"/>
              </w:rPr>
            </w:pPr>
            <w:r>
              <w:rPr>
                <w:lang w:eastAsia="ko-KR"/>
              </w:rPr>
              <w:t>BC</w:t>
            </w:r>
          </w:p>
        </w:tc>
        <w:tc>
          <w:tcPr>
            <w:tcW w:w="567" w:type="dxa"/>
          </w:tcPr>
          <w:p>
            <w:pPr>
              <w:pStyle w:val="58"/>
              <w:jc w:val="center"/>
            </w:pPr>
            <w:r>
              <w:t>No</w:t>
            </w:r>
          </w:p>
        </w:tc>
        <w:tc>
          <w:tcPr>
            <w:tcW w:w="709" w:type="dxa"/>
          </w:tcPr>
          <w:p>
            <w:pPr>
              <w:pStyle w:val="58"/>
              <w:jc w:val="center"/>
            </w:pPr>
            <w:r>
              <w:rPr>
                <w:bCs/>
                <w:iCs/>
              </w:rPr>
              <w:t>N/A</w:t>
            </w:r>
          </w:p>
        </w:tc>
        <w:tc>
          <w:tcPr>
            <w:tcW w:w="728" w:type="dxa"/>
          </w:tcPr>
          <w:p>
            <w:pPr>
              <w:pStyle w:val="58"/>
              <w:jc w:val="center"/>
            </w:pPr>
            <w:r>
              <w:rPr>
                <w:bCs/>
                <w:iCs/>
              </w:rPr>
              <w:t>N/A</w:t>
            </w:r>
          </w:p>
        </w:tc>
      </w:tr>
    </w:tbl>
    <w:p>
      <w:pPr>
        <w:keepNext w:val="0"/>
        <w:keepLines w:val="0"/>
        <w:widowControl/>
        <w:suppressLineNumbers w:val="0"/>
        <w:jc w:val="both"/>
        <w:rPr>
          <w:rFonts w:hint="default"/>
          <w:sz w:val="20"/>
          <w:highlight w:val="none"/>
          <w:lang w:val="en-US" w:eastAsia="zh-CN"/>
        </w:rPr>
      </w:pPr>
      <w:r>
        <w:rPr>
          <w:rFonts w:hint="eastAsia"/>
          <w:b/>
          <w:bCs/>
          <w:i/>
          <w:iCs/>
          <w:sz w:val="20"/>
          <w:szCs w:val="20"/>
          <w:lang w:val="en-US" w:eastAsia="zh-CN"/>
        </w:rPr>
        <w:t xml:space="preserve">Proposal 4: </w:t>
      </w:r>
      <w:r>
        <w:rPr>
          <w:rFonts w:hint="eastAsia"/>
          <w:b/>
          <w:bCs/>
          <w:i/>
          <w:iCs/>
          <w:sz w:val="20"/>
          <w:lang w:eastAsia="zh-CN"/>
        </w:rPr>
        <w:t>I</w:t>
      </w:r>
      <w:r>
        <w:rPr>
          <w:rFonts w:hint="eastAsia"/>
          <w:b/>
          <w:bCs/>
          <w:i/>
          <w:iCs/>
          <w:sz w:val="20"/>
        </w:rPr>
        <w:t>t is proposed that for intra-band UL CA without indicating dualPA-Architecture support, the MPR requirements of single CC operation for PC 2 and PC 3 can be followed when the UL Scell is deactivated.</w:t>
      </w:r>
    </w:p>
    <w:p>
      <w:pPr>
        <w:keepNext/>
        <w:keepLines/>
        <w:spacing w:after="0"/>
        <w:rPr>
          <w:rFonts w:hint="default" w:ascii="Arial" w:hAnsi="Arial"/>
          <w:b/>
          <w:i/>
          <w:sz w:val="20"/>
          <w:highlight w:val="none"/>
          <w:lang w:val="en-US" w:eastAsia="zh-CN"/>
        </w:rPr>
      </w:pPr>
      <w:r>
        <w:rPr>
          <w:rFonts w:hint="eastAsia"/>
          <w:i w:val="0"/>
          <w:iCs w:val="0"/>
          <w:sz w:val="20"/>
          <w:szCs w:val="20"/>
          <w:highlight w:val="none"/>
          <w:lang w:val="en-US" w:eastAsia="zh-CN"/>
        </w:rPr>
        <w:t xml:space="preserve">With regard to PC 2 intra-band CA with TxD supported, since some bands with single CC support </w:t>
      </w:r>
      <w:r>
        <w:rPr>
          <w:rFonts w:ascii="Times New Roman" w:hAnsi="Times New Roman"/>
          <w:b w:val="0"/>
          <w:i/>
          <w:iCs/>
          <w:color w:val="000000"/>
          <w:kern w:val="0"/>
          <w:sz w:val="20"/>
          <w:szCs w:val="20"/>
          <w:highlight w:val="none"/>
          <w:lang w:eastAsia="zh-CN" w:bidi="ar"/>
        </w:rPr>
        <w:t>txDiversity-r16</w:t>
      </w:r>
      <w:r>
        <w:rPr>
          <w:rFonts w:hint="eastAsia"/>
          <w:b w:val="0"/>
          <w:i/>
          <w:iCs/>
          <w:color w:val="000000"/>
          <w:kern w:val="0"/>
          <w:sz w:val="20"/>
          <w:szCs w:val="20"/>
          <w:highlight w:val="none"/>
          <w:lang w:val="en-US" w:eastAsia="zh-CN" w:bidi="ar"/>
        </w:rPr>
        <w:t xml:space="preserve"> </w:t>
      </w:r>
      <w:r>
        <w:rPr>
          <w:rFonts w:hint="eastAsia"/>
          <w:b w:val="0"/>
          <w:i w:val="0"/>
          <w:iCs w:val="0"/>
          <w:color w:val="000000"/>
          <w:kern w:val="0"/>
          <w:sz w:val="20"/>
          <w:szCs w:val="20"/>
          <w:highlight w:val="none"/>
          <w:lang w:val="en-US" w:eastAsia="zh-CN" w:bidi="ar"/>
        </w:rPr>
        <w:t xml:space="preserve">capability, such ad band n1, it is feasible for </w:t>
      </w:r>
      <w:r>
        <w:rPr>
          <w:rFonts w:hint="eastAsia"/>
          <w:color w:val="000000"/>
          <w:kern w:val="0"/>
          <w:sz w:val="20"/>
          <w:highlight w:val="none"/>
          <w:lang w:bidi="ar"/>
        </w:rPr>
        <w:t>intra-band UL CA</w:t>
      </w:r>
      <w:r>
        <w:rPr>
          <w:rFonts w:hint="eastAsia"/>
          <w:color w:val="000000"/>
          <w:kern w:val="0"/>
          <w:sz w:val="20"/>
          <w:highlight w:val="none"/>
          <w:lang w:val="en-US" w:eastAsia="zh-CN" w:bidi="ar"/>
        </w:rPr>
        <w:t xml:space="preserve"> in </w:t>
      </w:r>
      <w:r>
        <w:rPr>
          <w:rFonts w:hint="eastAsia"/>
          <w:b w:val="0"/>
          <w:i w:val="0"/>
          <w:iCs w:val="0"/>
          <w:color w:val="000000"/>
          <w:kern w:val="0"/>
          <w:sz w:val="20"/>
          <w:szCs w:val="20"/>
          <w:highlight w:val="none"/>
          <w:lang w:val="en-US" w:eastAsia="zh-CN" w:bidi="ar"/>
        </w:rPr>
        <w:t xml:space="preserve">these bands, when </w:t>
      </w:r>
      <w:r>
        <w:rPr>
          <w:rFonts w:hint="eastAsia"/>
          <w:iCs/>
          <w:sz w:val="20"/>
        </w:rPr>
        <w:t>the UL Scell is deactivated</w:t>
      </w:r>
      <w:r>
        <w:rPr>
          <w:rFonts w:hint="eastAsia"/>
          <w:iCs/>
          <w:sz w:val="20"/>
          <w:lang w:val="en-US" w:eastAsia="zh-CN"/>
        </w:rPr>
        <w:t xml:space="preserve">, </w:t>
      </w:r>
      <w:r>
        <w:rPr>
          <w:rFonts w:hint="eastAsia"/>
          <w:b w:val="0"/>
          <w:i w:val="0"/>
          <w:iCs w:val="0"/>
          <w:color w:val="000000"/>
          <w:kern w:val="0"/>
          <w:sz w:val="20"/>
          <w:szCs w:val="20"/>
          <w:highlight w:val="none"/>
          <w:lang w:val="en-US" w:eastAsia="zh-CN" w:bidi="ar"/>
        </w:rPr>
        <w:t xml:space="preserve">to follow the MPR/A-MPR requirements specified for these bands with </w:t>
      </w:r>
      <w:r>
        <w:rPr>
          <w:rFonts w:ascii="Times New Roman" w:hAnsi="Times New Roman"/>
          <w:b w:val="0"/>
          <w:i/>
          <w:iCs/>
          <w:color w:val="000000"/>
          <w:kern w:val="0"/>
          <w:sz w:val="20"/>
          <w:szCs w:val="20"/>
          <w:highlight w:val="none"/>
          <w:lang w:eastAsia="zh-CN" w:bidi="ar"/>
        </w:rPr>
        <w:t>txDiversity-r16</w:t>
      </w:r>
      <w:r>
        <w:rPr>
          <w:rFonts w:hint="eastAsia"/>
          <w:b w:val="0"/>
          <w:i/>
          <w:iCs/>
          <w:color w:val="000000"/>
          <w:kern w:val="0"/>
          <w:sz w:val="20"/>
          <w:szCs w:val="20"/>
          <w:highlight w:val="none"/>
          <w:lang w:val="en-US" w:eastAsia="zh-CN" w:bidi="ar"/>
        </w:rPr>
        <w:t xml:space="preserve"> </w:t>
      </w:r>
      <w:r>
        <w:rPr>
          <w:rFonts w:hint="eastAsia"/>
          <w:b w:val="0"/>
          <w:i w:val="0"/>
          <w:iCs w:val="0"/>
          <w:color w:val="000000"/>
          <w:kern w:val="0"/>
          <w:sz w:val="20"/>
          <w:szCs w:val="20"/>
          <w:highlight w:val="none"/>
          <w:lang w:val="en-US" w:eastAsia="zh-CN" w:bidi="ar"/>
        </w:rPr>
        <w:t>capability</w:t>
      </w:r>
      <w:r>
        <w:rPr>
          <w:rFonts w:hint="eastAsia" w:cs="Times New Roman"/>
          <w:iCs/>
          <w:sz w:val="20"/>
          <w:szCs w:val="20"/>
          <w:lang w:val="en-US" w:eastAsia="zh-CN"/>
        </w:rPr>
        <w:t>.</w:t>
      </w:r>
    </w:p>
    <w:p>
      <w:pPr>
        <w:keepNext w:val="0"/>
        <w:keepLines w:val="0"/>
        <w:widowControl/>
        <w:suppressLineNumbers w:val="0"/>
        <w:jc w:val="both"/>
        <w:rPr>
          <w:rFonts w:hint="default"/>
          <w:i w:val="0"/>
          <w:iCs w:val="0"/>
          <w:sz w:val="20"/>
          <w:szCs w:val="20"/>
          <w:highlight w:val="yellow"/>
          <w:lang w:val="en-US" w:eastAsia="zh-CN"/>
        </w:rPr>
      </w:pPr>
      <w:r>
        <w:rPr>
          <w:rFonts w:hint="eastAsia"/>
          <w:b/>
          <w:bCs/>
          <w:i/>
          <w:iCs/>
          <w:sz w:val="20"/>
          <w:szCs w:val="20"/>
          <w:lang w:val="en-US" w:eastAsia="zh-CN"/>
        </w:rPr>
        <w:t>Proposal 5: It is feasible for intra-band UL CA with TxD supported, when the UL Scell is deactivated, to follow the MPR/A-MPR requirements specified for the corresponding bands with txDiversity-r16 capability.</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FR2 intra-band UL CC</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eastAsia="宋体"/>
          <w:i w:val="0"/>
          <w:iCs w:val="0"/>
          <w:sz w:val="20"/>
          <w:szCs w:val="20"/>
          <w:lang w:val="en-US" w:eastAsia="zh-CN"/>
        </w:rPr>
      </w:pPr>
      <w:r>
        <w:rPr>
          <w:rFonts w:hint="eastAsia"/>
          <w:i w:val="0"/>
          <w:iCs w:val="0"/>
          <w:sz w:val="20"/>
          <w:szCs w:val="20"/>
          <w:lang w:val="en-US" w:eastAsia="zh-CN"/>
        </w:rPr>
        <w:t>As we know, the existing MPR requirements for FR2 intra-band UL CC are largely based on the DL CABW(cumulative aggregated channel bandwidth), and even when UL is single CC, the MPR is still based on the DL CA bandwidth (i.e. DL CA only)which would be larger than UL. Moreover, when the</w:t>
      </w:r>
      <w:bookmarkStart w:id="17" w:name="OLE_LINK18"/>
      <w:r>
        <w:rPr>
          <w:rFonts w:hint="eastAsia"/>
          <w:i w:val="0"/>
          <w:iCs w:val="0"/>
          <w:sz w:val="20"/>
          <w:szCs w:val="20"/>
          <w:lang w:val="en-US" w:eastAsia="zh-CN"/>
        </w:rPr>
        <w:t xml:space="preserve"> </w:t>
      </w:r>
      <w:r>
        <w:rPr>
          <w:rFonts w:ascii="Times New Roman" w:hAnsi="Times New Roman" w:cs="Times New Roman"/>
          <w:sz w:val="20"/>
          <w:szCs w:val="20"/>
        </w:rPr>
        <w:t>SCell</w:t>
      </w:r>
      <w:r>
        <w:rPr>
          <w:rFonts w:hint="eastAsia" w:cs="Times New Roman"/>
          <w:sz w:val="20"/>
          <w:szCs w:val="20"/>
          <w:lang w:val="en-US" w:eastAsia="zh-CN"/>
        </w:rPr>
        <w:t xml:space="preserve"> in the DL CA only</w:t>
      </w:r>
      <w:r>
        <w:rPr>
          <w:rFonts w:ascii="Times New Roman" w:hAnsi="Times New Roman" w:cs="Times New Roman"/>
          <w:sz w:val="20"/>
          <w:szCs w:val="20"/>
        </w:rPr>
        <w:t xml:space="preserve"> is </w:t>
      </w:r>
      <w:r>
        <w:rPr>
          <w:rFonts w:hint="eastAsia" w:cs="Times New Roman"/>
          <w:sz w:val="20"/>
          <w:szCs w:val="20"/>
          <w:lang w:val="en-US" w:eastAsia="zh-CN"/>
        </w:rPr>
        <w:t>de-</w:t>
      </w:r>
      <w:r>
        <w:rPr>
          <w:rFonts w:ascii="Times New Roman" w:hAnsi="Times New Roman" w:cs="Times New Roman"/>
          <w:sz w:val="20"/>
          <w:szCs w:val="20"/>
        </w:rPr>
        <w:t>activated</w:t>
      </w:r>
      <w:bookmarkEnd w:id="17"/>
      <w:r>
        <w:rPr>
          <w:rFonts w:hint="eastAsia" w:cs="Times New Roman"/>
          <w:sz w:val="20"/>
          <w:szCs w:val="20"/>
          <w:lang w:val="en-US" w:eastAsia="zh-CN"/>
        </w:rPr>
        <w:t xml:space="preserve">, it </w:t>
      </w:r>
      <w:bookmarkStart w:id="18" w:name="OLE_LINK19"/>
      <w:r>
        <w:rPr>
          <w:rFonts w:hint="eastAsia" w:cs="Times New Roman"/>
          <w:sz w:val="20"/>
          <w:szCs w:val="20"/>
          <w:lang w:val="en-US" w:eastAsia="zh-CN"/>
        </w:rPr>
        <w:t>switches to 1UL/1DL</w:t>
      </w:r>
      <w:bookmarkEnd w:id="18"/>
      <w:r>
        <w:rPr>
          <w:rFonts w:hint="eastAsia" w:cs="Times New Roman"/>
          <w:sz w:val="20"/>
          <w:szCs w:val="20"/>
          <w:lang w:val="en-US" w:eastAsia="zh-CN"/>
        </w:rPr>
        <w:t xml:space="preserve"> and the channel bandwidth in the DL is reduced from CABW to single carrier channel bandwidth. </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 xml:space="preserve">Usually, larger channel bandwidth would cause larger MSD due to more sever PA non-linearity. Decoupling the bandwidth for UL and DL would reduce the MPR requirement. We think the </w:t>
      </w:r>
      <w:bookmarkStart w:id="19" w:name="OLE_LINK16"/>
      <w:r>
        <w:rPr>
          <w:rFonts w:hint="eastAsia"/>
          <w:i w:val="0"/>
          <w:iCs w:val="0"/>
          <w:sz w:val="20"/>
          <w:szCs w:val="20"/>
          <w:lang w:val="en-US" w:eastAsia="zh-CN"/>
        </w:rPr>
        <w:t>MPR for intra-band CA</w:t>
      </w:r>
      <w:bookmarkEnd w:id="19"/>
      <w:r>
        <w:rPr>
          <w:rFonts w:hint="eastAsia"/>
          <w:i w:val="0"/>
          <w:iCs w:val="0"/>
          <w:sz w:val="20"/>
          <w:szCs w:val="20"/>
          <w:lang w:val="en-US" w:eastAsia="zh-CN"/>
        </w:rPr>
        <w:t xml:space="preserve"> is defined </w:t>
      </w:r>
      <w:bookmarkStart w:id="20" w:name="OLE_LINK15"/>
      <w:r>
        <w:rPr>
          <w:rFonts w:hint="eastAsia"/>
          <w:i w:val="0"/>
          <w:iCs w:val="0"/>
          <w:sz w:val="20"/>
          <w:szCs w:val="20"/>
          <w:lang w:val="en-US" w:eastAsia="zh-CN"/>
        </w:rPr>
        <w:t>based on UL BW</w:t>
      </w:r>
      <w:bookmarkEnd w:id="20"/>
      <w:r>
        <w:rPr>
          <w:rFonts w:hint="eastAsia"/>
          <w:i w:val="0"/>
          <w:iCs w:val="0"/>
          <w:sz w:val="20"/>
          <w:szCs w:val="20"/>
          <w:lang w:val="en-US" w:eastAsia="zh-CN"/>
        </w:rPr>
        <w:t xml:space="preserve"> is feasible, regardless of the DL cumulative aggregated channel bandwidth.</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b/>
          <w:bCs/>
          <w:i/>
          <w:iCs/>
          <w:sz w:val="20"/>
          <w:szCs w:val="20"/>
          <w:lang w:val="en-US" w:eastAsia="zh-CN"/>
        </w:rPr>
      </w:pPr>
      <w:bookmarkStart w:id="21" w:name="OLE_LINK25"/>
      <w:r>
        <w:rPr>
          <w:rFonts w:hint="eastAsia"/>
          <w:b/>
          <w:bCs/>
          <w:i/>
          <w:iCs/>
          <w:sz w:val="20"/>
          <w:szCs w:val="20"/>
          <w:lang w:val="en-US" w:eastAsia="zh-CN"/>
        </w:rPr>
        <w:t>Proposal 6:</w:t>
      </w:r>
      <w:bookmarkEnd w:id="21"/>
      <w:r>
        <w:rPr>
          <w:rFonts w:hint="eastAsia"/>
          <w:b/>
          <w:bCs/>
          <w:i/>
          <w:iCs/>
          <w:sz w:val="20"/>
          <w:szCs w:val="20"/>
          <w:lang w:val="en-US" w:eastAsia="zh-CN"/>
        </w:rPr>
        <w:t xml:space="preserve"> To enhance the MPR requirement, it is feasible to define the MPR for </w:t>
      </w:r>
      <w:bookmarkStart w:id="22" w:name="OLE_LINK26"/>
      <w:bookmarkStart w:id="23" w:name="OLE_LINK17"/>
      <w:r>
        <w:rPr>
          <w:rFonts w:hint="eastAsia"/>
          <w:b/>
          <w:bCs/>
          <w:i/>
          <w:iCs/>
          <w:sz w:val="20"/>
          <w:szCs w:val="20"/>
          <w:lang w:val="en-US" w:eastAsia="zh-CN"/>
        </w:rPr>
        <w:t>FR2 intra-band CA</w:t>
      </w:r>
      <w:bookmarkEnd w:id="22"/>
      <w:r>
        <w:rPr>
          <w:rFonts w:hint="eastAsia"/>
          <w:b/>
          <w:bCs/>
          <w:i/>
          <w:iCs/>
          <w:sz w:val="20"/>
          <w:szCs w:val="20"/>
          <w:lang w:val="en-US" w:eastAsia="zh-CN"/>
        </w:rPr>
        <w:t xml:space="preserve"> </w:t>
      </w:r>
      <w:bookmarkEnd w:id="23"/>
      <w:r>
        <w:rPr>
          <w:rFonts w:hint="eastAsia"/>
          <w:b/>
          <w:bCs/>
          <w:i/>
          <w:iCs/>
          <w:sz w:val="20"/>
          <w:szCs w:val="20"/>
          <w:lang w:val="en-US" w:eastAsia="zh-CN"/>
        </w:rPr>
        <w:t>based on UL BW.</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With the above proposal, we think there may be two cases:</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Case 1. DL CA only</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 xml:space="preserve">Case 2. UL CA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beforeLines="0" w:after="120" w:afterLines="0" w:line="240" w:lineRule="auto"/>
        <w:textAlignment w:val="baseline"/>
        <w:rPr>
          <w:rFonts w:hint="eastAsia"/>
          <w:sz w:val="20"/>
          <w:lang w:val="en-US" w:eastAsia="zh-CN"/>
        </w:rPr>
      </w:pPr>
      <w:r>
        <w:rPr>
          <w:rFonts w:hint="eastAsia"/>
          <w:i w:val="0"/>
          <w:iCs w:val="0"/>
          <w:sz w:val="20"/>
          <w:szCs w:val="20"/>
          <w:lang w:val="en-US" w:eastAsia="zh-CN"/>
        </w:rPr>
        <w:t xml:space="preserve">For Case 1, when the </w:t>
      </w:r>
      <w:bookmarkStart w:id="24" w:name="OLE_LINK22"/>
      <w:r>
        <w:rPr>
          <w:rFonts w:ascii="Times New Roman" w:hAnsi="Times New Roman" w:cs="Times New Roman"/>
          <w:sz w:val="20"/>
          <w:szCs w:val="20"/>
        </w:rPr>
        <w:t>SCell</w:t>
      </w:r>
      <w:r>
        <w:rPr>
          <w:rFonts w:hint="eastAsia" w:cs="Times New Roman"/>
          <w:sz w:val="20"/>
          <w:szCs w:val="20"/>
          <w:lang w:val="en-US" w:eastAsia="zh-CN"/>
        </w:rPr>
        <w:t xml:space="preserve"> in the DL CA only</w:t>
      </w:r>
      <w:r>
        <w:rPr>
          <w:rFonts w:ascii="Times New Roman" w:hAnsi="Times New Roman" w:cs="Times New Roman"/>
          <w:sz w:val="20"/>
          <w:szCs w:val="20"/>
        </w:rPr>
        <w:t xml:space="preserve"> is </w:t>
      </w:r>
      <w:r>
        <w:rPr>
          <w:rFonts w:hint="eastAsia" w:cs="Times New Roman"/>
          <w:sz w:val="20"/>
          <w:szCs w:val="20"/>
          <w:lang w:val="en-US" w:eastAsia="zh-CN"/>
        </w:rPr>
        <w:t>de</w:t>
      </w:r>
      <w:r>
        <w:rPr>
          <w:rFonts w:ascii="Times New Roman" w:hAnsi="Times New Roman" w:cs="Times New Roman"/>
          <w:sz w:val="20"/>
          <w:szCs w:val="20"/>
        </w:rPr>
        <w:t>activated</w:t>
      </w:r>
      <w:bookmarkEnd w:id="24"/>
      <w:r>
        <w:rPr>
          <w:rFonts w:hint="eastAsia" w:cs="Times New Roman"/>
          <w:sz w:val="20"/>
          <w:szCs w:val="20"/>
          <w:lang w:val="en-US" w:eastAsia="zh-CN"/>
        </w:rPr>
        <w:t xml:space="preserve">, then we think the single carrier MPR can be re-used due to it switching to 1UL/1DL. For example, for </w:t>
      </w:r>
      <w:bookmarkStart w:id="25" w:name="OLE_LINK20"/>
      <w:r>
        <w:rPr>
          <w:rFonts w:hint="eastAsia" w:cs="Times New Roman"/>
          <w:sz w:val="20"/>
          <w:szCs w:val="20"/>
          <w:lang w:val="en-US" w:eastAsia="zh-CN"/>
        </w:rPr>
        <w:t xml:space="preserve">DL only </w:t>
      </w:r>
      <w:r>
        <w:rPr>
          <w:rFonts w:hint="eastAsia"/>
          <w:sz w:val="20"/>
        </w:rPr>
        <w:t>CA_n258C</w:t>
      </w:r>
      <w:bookmarkEnd w:id="25"/>
      <w:r>
        <w:rPr>
          <w:rFonts w:hint="eastAsia"/>
          <w:sz w:val="20"/>
          <w:lang w:val="en-US" w:eastAsia="zh-CN"/>
        </w:rPr>
        <w:t xml:space="preserve"> with &lt;=400MHz CABW, according to the current spec, the MPR for PC3 </w:t>
      </w:r>
      <w:r>
        <w:rPr>
          <w:rFonts w:hint="eastAsia" w:cs="Times New Roman"/>
          <w:sz w:val="20"/>
          <w:szCs w:val="20"/>
          <w:lang w:val="en-US" w:eastAsia="zh-CN"/>
        </w:rPr>
        <w:t xml:space="preserve">DL only </w:t>
      </w:r>
      <w:r>
        <w:rPr>
          <w:rFonts w:hint="eastAsia"/>
          <w:sz w:val="20"/>
        </w:rPr>
        <w:t>CA_n258C</w:t>
      </w:r>
      <w:r>
        <w:rPr>
          <w:rFonts w:hint="eastAsia"/>
          <w:sz w:val="20"/>
          <w:lang w:val="en-US" w:eastAsia="zh-CN"/>
        </w:rPr>
        <w:t xml:space="preserve"> uses the </w:t>
      </w:r>
      <w:bookmarkStart w:id="26" w:name="OLE_LINK27"/>
      <w:r>
        <w:rPr>
          <w:rFonts w:hint="eastAsia"/>
          <w:sz w:val="20"/>
          <w:lang w:val="en-US" w:eastAsia="zh-CN"/>
        </w:rPr>
        <w:t>CA MPR</w:t>
      </w:r>
      <w:bookmarkEnd w:id="26"/>
      <w:r>
        <w:rPr>
          <w:rFonts w:hint="eastAsia"/>
          <w:sz w:val="20"/>
          <w:lang w:val="en-US" w:eastAsia="zh-CN"/>
        </w:rPr>
        <w:t xml:space="preserve"> in table </w:t>
      </w:r>
      <w:bookmarkStart w:id="27" w:name="OLE_LINK29"/>
      <w:r>
        <w:rPr>
          <w:rFonts w:hint="eastAsia"/>
          <w:sz w:val="20"/>
        </w:rPr>
        <w:t>6.2A.2.4-1</w:t>
      </w:r>
      <w:bookmarkEnd w:id="27"/>
      <w:r>
        <w:rPr>
          <w:rFonts w:hint="eastAsia"/>
          <w:sz w:val="20"/>
          <w:lang w:val="en-US" w:eastAsia="zh-CN"/>
        </w:rPr>
        <w:t xml:space="preserve">, which is &lt;=5dB for </w:t>
      </w:r>
      <w:bookmarkStart w:id="28" w:name="OLE_LINK24"/>
      <w:r>
        <w:rPr>
          <w:rFonts w:hint="eastAsia"/>
          <w:sz w:val="20"/>
          <w:lang w:val="en-US" w:eastAsia="zh-CN"/>
        </w:rPr>
        <w:t>QPSK DFT-s-OFDM</w:t>
      </w:r>
      <w:bookmarkEnd w:id="28"/>
      <w:r>
        <w:rPr>
          <w:rFonts w:hint="eastAsia"/>
          <w:sz w:val="20"/>
          <w:lang w:val="en-US" w:eastAsia="zh-CN"/>
        </w:rPr>
        <w:t xml:space="preserve">. </w:t>
      </w:r>
    </w:p>
    <w:p>
      <w:pPr>
        <w:pStyle w:val="56"/>
      </w:pPr>
      <w:r>
        <w:t>Table 6.2.2.3-1 MPR</w:t>
      </w:r>
      <w:r>
        <w:rPr>
          <w:vertAlign w:val="subscript"/>
        </w:rPr>
        <w:t>WT</w:t>
      </w:r>
      <w:r>
        <w:t xml:space="preserve"> for power class 3</w:t>
      </w:r>
      <w:r>
        <w:rPr>
          <w:rFonts w:hint="eastAsia"/>
        </w:rPr>
        <w:t>, BWchannel ≤ 200 MHz</w:t>
      </w:r>
      <w:r>
        <w:t>, FR2-1</w:t>
      </w:r>
    </w:p>
    <w:tbl>
      <w:tblPr>
        <w:tblStyle w:val="23"/>
        <w:tblW w:w="7410"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4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bottom w:val="nil"/>
            </w:tcBorders>
            <w:shd w:val="clear" w:color="auto" w:fill="auto"/>
            <w:noWrap/>
          </w:tcPr>
          <w:p>
            <w:pPr>
              <w:pStyle w:val="65"/>
              <w:keepNext/>
              <w:keepLines/>
              <w:pageBreakBefore w:val="0"/>
              <w:widowControl/>
              <w:kinsoku/>
              <w:wordWrap/>
              <w:overflowPunct/>
              <w:topLinePunct w:val="0"/>
              <w:autoSpaceDE/>
              <w:autoSpaceDN/>
              <w:bidi w:val="0"/>
              <w:adjustRightInd/>
              <w:snapToGrid/>
              <w:spacing w:beforeLines="0" w:afterLines="0"/>
              <w:textAlignment w:val="auto"/>
              <w:rPr>
                <w:lang w:val="en-US"/>
              </w:rPr>
            </w:pPr>
            <w:r>
              <w:t>Modulation</w:t>
            </w:r>
          </w:p>
        </w:tc>
        <w:tc>
          <w:tcPr>
            <w:tcW w:w="4690" w:type="dxa"/>
            <w:gridSpan w:val="2"/>
            <w:shd w:val="clear" w:color="000000" w:fill="FFFFFF"/>
          </w:tcPr>
          <w:p>
            <w:pPr>
              <w:pStyle w:val="65"/>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MPR</w:t>
            </w:r>
            <w:r>
              <w:rPr>
                <w:vertAlign w:val="subscript"/>
                <w:lang w:val="en-US"/>
              </w:rPr>
              <w:t>WT</w:t>
            </w:r>
            <w:r>
              <w:rPr>
                <w:lang w:val="en-US"/>
              </w:rPr>
              <w:t>, BW</w:t>
            </w:r>
            <w:r>
              <w:rPr>
                <w:vertAlign w:val="subscript"/>
                <w:lang w:val="en-US"/>
              </w:rPr>
              <w:t>channel</w:t>
            </w:r>
            <w:r>
              <w:rPr>
                <w:lang w:val="en-US"/>
              </w:rPr>
              <w:t xml:space="preserve"> ≤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720" w:type="dxa"/>
            <w:gridSpan w:val="2"/>
            <w:tcBorders>
              <w:top w:val="nil"/>
            </w:tcBorders>
            <w:shd w:val="clear" w:color="auto" w:fill="auto"/>
            <w:noWrap/>
          </w:tcPr>
          <w:p>
            <w:pPr>
              <w:pStyle w:val="65"/>
              <w:keepNext/>
              <w:keepLines/>
              <w:pageBreakBefore w:val="0"/>
              <w:widowControl/>
              <w:kinsoku/>
              <w:wordWrap/>
              <w:overflowPunct/>
              <w:topLinePunct w:val="0"/>
              <w:autoSpaceDE/>
              <w:autoSpaceDN/>
              <w:bidi w:val="0"/>
              <w:adjustRightInd/>
              <w:snapToGrid/>
              <w:spacing w:beforeLines="0" w:afterLines="0"/>
              <w:textAlignment w:val="auto"/>
              <w:rPr>
                <w:lang w:val="en-US"/>
              </w:rPr>
            </w:pPr>
          </w:p>
        </w:tc>
        <w:tc>
          <w:tcPr>
            <w:tcW w:w="2440" w:type="dxa"/>
            <w:shd w:val="clear" w:color="auto" w:fill="auto"/>
            <w:noWrap/>
          </w:tcPr>
          <w:p>
            <w:pPr>
              <w:pStyle w:val="65"/>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Inner RB allocations,</w:t>
            </w:r>
          </w:p>
          <w:p>
            <w:pPr>
              <w:pStyle w:val="65"/>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Region 1</w:t>
            </w:r>
          </w:p>
        </w:tc>
        <w:tc>
          <w:tcPr>
            <w:tcW w:w="2250" w:type="dxa"/>
            <w:shd w:val="clear" w:color="auto" w:fill="auto"/>
            <w:noWrap/>
          </w:tcPr>
          <w:p>
            <w:pPr>
              <w:pStyle w:val="65"/>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Edge RB allocations</w:t>
            </w:r>
          </w:p>
          <w:p>
            <w:pPr>
              <w:pStyle w:val="65"/>
              <w:keepNext/>
              <w:keepLines/>
              <w:pageBreakBefore w:val="0"/>
              <w:widowControl/>
              <w:kinsoku/>
              <w:wordWrap/>
              <w:overflowPunct/>
              <w:topLinePunct w:val="0"/>
              <w:autoSpaceDE/>
              <w:autoSpaceDN/>
              <w:bidi w:val="0"/>
              <w:adjustRightInd/>
              <w:snapToGrid/>
              <w:spacing w:beforeLines="0" w:afterLines="0"/>
              <w:textAlignment w:val="auto"/>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DFT-s-OFDM</w:t>
            </w:r>
          </w:p>
        </w:tc>
        <w:tc>
          <w:tcPr>
            <w:tcW w:w="118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Pi/2 BPSK</w:t>
            </w:r>
          </w:p>
        </w:tc>
        <w:tc>
          <w:tcPr>
            <w:tcW w:w="244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0.0</w:t>
            </w:r>
          </w:p>
        </w:tc>
        <w:tc>
          <w:tcPr>
            <w:tcW w:w="225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p>
        </w:tc>
        <w:tc>
          <w:tcPr>
            <w:tcW w:w="118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QPSK</w:t>
            </w:r>
          </w:p>
        </w:tc>
        <w:tc>
          <w:tcPr>
            <w:tcW w:w="244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0.0</w:t>
            </w:r>
          </w:p>
        </w:tc>
        <w:tc>
          <w:tcPr>
            <w:tcW w:w="225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p>
        </w:tc>
        <w:tc>
          <w:tcPr>
            <w:tcW w:w="118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16 QAM</w:t>
            </w:r>
          </w:p>
        </w:tc>
        <w:tc>
          <w:tcPr>
            <w:tcW w:w="244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3.0</w:t>
            </w:r>
          </w:p>
        </w:tc>
        <w:tc>
          <w:tcPr>
            <w:tcW w:w="225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single" w:color="auto" w:sz="4" w:space="0"/>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p>
        </w:tc>
        <w:tc>
          <w:tcPr>
            <w:tcW w:w="118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64 QAM</w:t>
            </w:r>
          </w:p>
        </w:tc>
        <w:tc>
          <w:tcPr>
            <w:tcW w:w="244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5.0</w:t>
            </w:r>
          </w:p>
        </w:tc>
        <w:tc>
          <w:tcPr>
            <w:tcW w:w="225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bottom w:val="nil"/>
            </w:tcBorders>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CP-OFDM</w:t>
            </w:r>
          </w:p>
        </w:tc>
        <w:tc>
          <w:tcPr>
            <w:tcW w:w="118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QPSK</w:t>
            </w:r>
          </w:p>
        </w:tc>
        <w:tc>
          <w:tcPr>
            <w:tcW w:w="244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3.5</w:t>
            </w:r>
          </w:p>
        </w:tc>
        <w:tc>
          <w:tcPr>
            <w:tcW w:w="225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bottom w:val="nil"/>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p>
        </w:tc>
        <w:tc>
          <w:tcPr>
            <w:tcW w:w="118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16 QAM</w:t>
            </w:r>
          </w:p>
        </w:tc>
        <w:tc>
          <w:tcPr>
            <w:tcW w:w="244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5.0</w:t>
            </w:r>
          </w:p>
        </w:tc>
        <w:tc>
          <w:tcPr>
            <w:tcW w:w="225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40" w:type="dxa"/>
            <w:tcBorders>
              <w:top w:val="nil"/>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p>
        </w:tc>
        <w:tc>
          <w:tcPr>
            <w:tcW w:w="118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rPr>
                <w:lang w:val="en-US"/>
              </w:rPr>
              <w:t>64 QAM</w:t>
            </w:r>
          </w:p>
        </w:tc>
        <w:tc>
          <w:tcPr>
            <w:tcW w:w="244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7.5</w:t>
            </w:r>
          </w:p>
        </w:tc>
        <w:tc>
          <w:tcPr>
            <w:tcW w:w="2250" w:type="dxa"/>
            <w:shd w:val="clear" w:color="auto" w:fill="auto"/>
            <w:noWrap/>
          </w:tcPr>
          <w:p>
            <w:pPr>
              <w:pStyle w:val="57"/>
              <w:keepNext/>
              <w:keepLines/>
              <w:pageBreakBefore w:val="0"/>
              <w:widowControl/>
              <w:kinsoku/>
              <w:wordWrap/>
              <w:overflowPunct/>
              <w:topLinePunct w:val="0"/>
              <w:autoSpaceDE/>
              <w:autoSpaceDN/>
              <w:bidi w:val="0"/>
              <w:adjustRightInd/>
              <w:snapToGrid/>
              <w:spacing w:beforeLines="0" w:afterLines="0"/>
              <w:textAlignment w:val="auto"/>
              <w:rPr>
                <w:lang w:val="en-US"/>
              </w:rPr>
            </w:pPr>
            <w:r>
              <w:t xml:space="preserve">≤ </w:t>
            </w:r>
            <w:r>
              <w:rPr>
                <w:lang w:val="en-US"/>
              </w:rPr>
              <w:t>7.5</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beforeLines="0" w:after="120" w:afterLines="0" w:line="240" w:lineRule="auto"/>
        <w:textAlignment w:val="baseline"/>
        <w:rPr>
          <w:rFonts w:hint="eastAsia"/>
          <w:sz w:val="20"/>
          <w:lang w:val="en-US" w:eastAsia="zh-CN"/>
        </w:rPr>
      </w:pPr>
      <w:r>
        <w:rPr>
          <w:rFonts w:hint="eastAsia"/>
          <w:sz w:val="20"/>
          <w:lang w:val="en-US" w:eastAsia="zh-CN"/>
        </w:rPr>
        <w:t xml:space="preserve">However, when the </w:t>
      </w:r>
      <w:r>
        <w:rPr>
          <w:rFonts w:ascii="Times New Roman" w:hAnsi="Times New Roman" w:cs="Times New Roman"/>
          <w:sz w:val="20"/>
          <w:szCs w:val="20"/>
        </w:rPr>
        <w:t>SCell</w:t>
      </w:r>
      <w:r>
        <w:rPr>
          <w:rFonts w:hint="eastAsia" w:cs="Times New Roman"/>
          <w:sz w:val="20"/>
          <w:szCs w:val="20"/>
          <w:lang w:val="en-US" w:eastAsia="zh-CN"/>
        </w:rPr>
        <w:t xml:space="preserve"> in the DL CA only</w:t>
      </w:r>
      <w:r>
        <w:rPr>
          <w:rFonts w:ascii="Times New Roman" w:hAnsi="Times New Roman" w:cs="Times New Roman"/>
          <w:sz w:val="20"/>
          <w:szCs w:val="20"/>
        </w:rPr>
        <w:t xml:space="preserve"> is </w:t>
      </w:r>
      <w:r>
        <w:rPr>
          <w:rFonts w:hint="eastAsia" w:cs="Times New Roman"/>
          <w:sz w:val="20"/>
          <w:szCs w:val="20"/>
          <w:lang w:val="en-US" w:eastAsia="zh-CN"/>
        </w:rPr>
        <w:t>de</w:t>
      </w:r>
      <w:r>
        <w:rPr>
          <w:rFonts w:ascii="Times New Roman" w:hAnsi="Times New Roman" w:cs="Times New Roman"/>
          <w:sz w:val="20"/>
          <w:szCs w:val="20"/>
        </w:rPr>
        <w:t>activated</w:t>
      </w:r>
      <w:r>
        <w:rPr>
          <w:rFonts w:hint="eastAsia" w:cs="Times New Roman"/>
          <w:sz w:val="20"/>
          <w:szCs w:val="20"/>
          <w:lang w:val="en-US" w:eastAsia="zh-CN"/>
        </w:rPr>
        <w:t xml:space="preserve">, the MPR would be 0dB for </w:t>
      </w:r>
      <w:bookmarkStart w:id="29" w:name="OLE_LINK28"/>
      <w:r>
        <w:rPr>
          <w:rFonts w:hint="eastAsia"/>
          <w:sz w:val="20"/>
          <w:lang w:val="en-US" w:eastAsia="zh-CN"/>
        </w:rPr>
        <w:t>QPSK DFT-s-OFDM</w:t>
      </w:r>
      <w:bookmarkEnd w:id="29"/>
      <w:r>
        <w:rPr>
          <w:rFonts w:hint="eastAsia"/>
          <w:sz w:val="20"/>
          <w:lang w:val="en-US" w:eastAsia="zh-CN"/>
        </w:rPr>
        <w:t>. It can be seen the MPR would be largely reduced.</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beforeLines="0" w:after="120" w:afterLines="0" w:line="240" w:lineRule="auto"/>
        <w:textAlignment w:val="baseline"/>
        <w:rPr>
          <w:rFonts w:hint="default"/>
          <w:b/>
          <w:bCs/>
          <w:i/>
          <w:iCs/>
          <w:sz w:val="20"/>
          <w:szCs w:val="20"/>
          <w:lang w:val="en-US" w:eastAsia="zh-CN"/>
        </w:rPr>
      </w:pPr>
      <w:bookmarkStart w:id="30" w:name="OLE_LINK35"/>
      <w:r>
        <w:rPr>
          <w:rFonts w:hint="eastAsia"/>
          <w:b/>
          <w:bCs/>
          <w:i/>
          <w:iCs/>
          <w:sz w:val="20"/>
          <w:szCs w:val="20"/>
          <w:lang w:val="en-US" w:eastAsia="zh-CN"/>
        </w:rPr>
        <w:t>Proposal 7:</w:t>
      </w:r>
      <w:bookmarkEnd w:id="30"/>
      <w:r>
        <w:rPr>
          <w:rFonts w:hint="eastAsia"/>
          <w:b/>
          <w:bCs/>
          <w:i/>
          <w:iCs/>
          <w:sz w:val="20"/>
          <w:szCs w:val="20"/>
          <w:lang w:val="en-US" w:eastAsia="zh-CN"/>
        </w:rPr>
        <w:t xml:space="preserve"> For DL CA only for FR2 intra-band CA, reuse the MPR requirements defined for UL single carrier.</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beforeLines="0" w:after="120" w:afterLines="0" w:line="240" w:lineRule="auto"/>
        <w:textAlignment w:val="baseline"/>
        <w:rPr>
          <w:rFonts w:hint="eastAsia"/>
          <w:sz w:val="20"/>
          <w:lang w:val="en-US" w:eastAsia="zh-CN"/>
        </w:rPr>
      </w:pPr>
      <w:r>
        <w:rPr>
          <w:rFonts w:hint="eastAsia"/>
          <w:sz w:val="20"/>
          <w:lang w:val="en-US" w:eastAsia="zh-CN"/>
        </w:rPr>
        <w:t xml:space="preserve">For Case 2, it is a bit duplicated, since it is unknown how many Scells are deactivated considering the </w:t>
      </w:r>
      <w:r>
        <w:rPr>
          <w:rFonts w:hint="eastAsia"/>
          <w:sz w:val="20"/>
        </w:rPr>
        <w:t xml:space="preserve">maximum aggregated </w:t>
      </w:r>
      <w:r>
        <w:rPr>
          <w:rFonts w:hint="eastAsia"/>
          <w:sz w:val="20"/>
          <w:szCs w:val="20"/>
          <w:lang w:eastAsia="zh-CN"/>
        </w:rPr>
        <w:t xml:space="preserve">uplink </w:t>
      </w:r>
      <w:r>
        <w:rPr>
          <w:rFonts w:hint="eastAsia"/>
          <w:sz w:val="20"/>
        </w:rPr>
        <w:t xml:space="preserve">BW </w:t>
      </w:r>
      <w:r>
        <w:rPr>
          <w:rFonts w:hint="eastAsia"/>
          <w:sz w:val="20"/>
          <w:lang w:val="en-US" w:eastAsia="zh-CN"/>
        </w:rPr>
        <w:t xml:space="preserve">can be up </w:t>
      </w:r>
      <w:r>
        <w:rPr>
          <w:rFonts w:hint="eastAsia"/>
          <w:sz w:val="20"/>
        </w:rPr>
        <w:t>to 800 MHz</w:t>
      </w:r>
      <w:r>
        <w:rPr>
          <w:rFonts w:hint="eastAsia"/>
          <w:sz w:val="20"/>
          <w:lang w:val="en-US" w:eastAsia="zh-CN"/>
        </w:rPr>
        <w:t xml:space="preserve"> with 8*100MHz. It should be noted that the UL </w:t>
      </w:r>
      <w:bookmarkStart w:id="31" w:name="OLE_LINK30"/>
      <w:r>
        <w:rPr>
          <w:rFonts w:hint="eastAsia"/>
          <w:sz w:val="20"/>
          <w:lang w:val="en-US" w:eastAsia="zh-CN"/>
        </w:rPr>
        <w:t>CABW</w:t>
      </w:r>
      <w:bookmarkEnd w:id="31"/>
      <w:r>
        <w:rPr>
          <w:rFonts w:hint="eastAsia"/>
          <w:sz w:val="20"/>
          <w:lang w:val="en-US" w:eastAsia="zh-CN"/>
        </w:rPr>
        <w:t xml:space="preserve"> can be up to 2400MHz. In terms of the CA MPR in </w:t>
      </w:r>
      <w:r>
        <w:rPr>
          <w:rFonts w:hint="eastAsia"/>
          <w:sz w:val="20"/>
        </w:rPr>
        <w:t>Table 6.2.2.</w:t>
      </w:r>
      <w:r>
        <w:rPr>
          <w:rFonts w:hint="eastAsia"/>
          <w:sz w:val="20"/>
          <w:lang w:eastAsia="zh-CN"/>
        </w:rPr>
        <w:t>3</w:t>
      </w:r>
      <w:r>
        <w:rPr>
          <w:rFonts w:hint="eastAsia"/>
          <w:sz w:val="20"/>
        </w:rPr>
        <w:t>-2</w:t>
      </w:r>
      <w:r>
        <w:rPr>
          <w:rFonts w:hint="eastAsia"/>
          <w:sz w:val="20"/>
          <w:lang w:val="en-US" w:eastAsia="zh-CN"/>
        </w:rPr>
        <w:t>, ~4.7dB MPR difference is found between DL CABW of 2400MHz and 400MHz for QPSK DFT-s-OFDM. So, by decoupling the UL CABW and DL CABW, the MPR would be reduced.</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beforeLines="0" w:after="120" w:afterLines="0" w:line="240" w:lineRule="auto"/>
        <w:textAlignment w:val="baseline"/>
        <w:rPr>
          <w:rFonts w:hint="default" w:eastAsia="宋体"/>
          <w:sz w:val="20"/>
          <w:lang w:val="en-US" w:eastAsia="zh-CN"/>
        </w:rPr>
      </w:pPr>
      <w:r>
        <w:rPr>
          <w:rFonts w:hint="eastAsia"/>
          <w:sz w:val="20"/>
          <w:lang w:val="en-US" w:eastAsia="zh-CN"/>
        </w:rPr>
        <w:t xml:space="preserve">Currently, the MPR requirement are defined for four CABW group in table </w:t>
      </w:r>
      <w:r>
        <w:rPr>
          <w:rFonts w:hint="eastAsia"/>
          <w:sz w:val="20"/>
        </w:rPr>
        <w:t>6.2A.2.4-1</w:t>
      </w:r>
      <w:r>
        <w:rPr>
          <w:rFonts w:hint="eastAsia"/>
          <w:sz w:val="20"/>
          <w:lang w:val="en-US" w:eastAsia="zh-CN"/>
        </w:rPr>
        <w:t xml:space="preserve">, which are: </w:t>
      </w:r>
    </w:p>
    <w:p>
      <w:pPr>
        <w:pStyle w:val="56"/>
      </w:pPr>
      <w:r>
        <w:t xml:space="preserve">Table </w:t>
      </w:r>
      <w:bookmarkStart w:id="32" w:name="OLE_LINK21"/>
      <w:r>
        <w:t>6.2A.2.4-1</w:t>
      </w:r>
      <w:bookmarkEnd w:id="32"/>
      <w:r>
        <w:t>: Maximum power reduction (MPR</w:t>
      </w:r>
      <w:r>
        <w:rPr>
          <w:vertAlign w:val="subscript"/>
        </w:rPr>
        <w:t>C_CA</w:t>
      </w:r>
      <w:r>
        <w:t>) for UE power class 3 in FR2-1</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1655"/>
        <w:gridCol w:w="1774"/>
        <w:gridCol w:w="1540"/>
        <w:gridCol w:w="1555"/>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24" w:type="dxa"/>
            <w:gridSpan w:val="2"/>
            <w:tcBorders>
              <w:bottom w:val="nil"/>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textAlignment w:val="auto"/>
            </w:pPr>
          </w:p>
        </w:tc>
        <w:tc>
          <w:tcPr>
            <w:tcW w:w="6307" w:type="dxa"/>
            <w:gridSpan w:val="4"/>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textAlignment w:val="auto"/>
            </w:pPr>
            <w:r>
              <w:t>Cumulative aggregated channel</w:t>
            </w:r>
            <w:r>
              <w:rPr>
                <w:rFonts w:eastAsia="Malgun Gothic"/>
              </w:rPr>
              <w:t xml:space="preserve"> </w:t>
            </w:r>
            <w:r>
              <w:t xml:space="preserve">bandwidth </w:t>
            </w:r>
            <w:r>
              <w:rPr>
                <w:rFonts w:eastAsia="Malgun Gothic"/>
              </w:rPr>
              <w:t>(CABW)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24" w:type="dxa"/>
            <w:gridSpan w:val="2"/>
            <w:tcBorders>
              <w:top w:val="nil"/>
            </w:tcBorders>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textAlignment w:val="auto"/>
            </w:pPr>
          </w:p>
        </w:tc>
        <w:tc>
          <w:tcPr>
            <w:tcW w:w="1774"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textAlignment w:val="auto"/>
            </w:pPr>
            <w:bookmarkStart w:id="33" w:name="OLE_LINK38"/>
            <w:r>
              <w:rPr>
                <w:rFonts w:eastAsia="Yu Mincho" w:cs="Arial"/>
                <w:lang w:eastAsia="ja-JP"/>
              </w:rPr>
              <w:t>≤</w:t>
            </w:r>
            <w:r>
              <w:t xml:space="preserve"> 400</w:t>
            </w:r>
            <w:bookmarkEnd w:id="33"/>
            <w:r>
              <w:t xml:space="preserve"> MHz</w:t>
            </w:r>
          </w:p>
        </w:tc>
        <w:tc>
          <w:tcPr>
            <w:tcW w:w="1540" w:type="dxa"/>
          </w:tcPr>
          <w:p>
            <w:pPr>
              <w:pStyle w:val="65"/>
              <w:keepNext/>
              <w:keepLines/>
              <w:pageBreakBefore w:val="0"/>
              <w:widowControl/>
              <w:kinsoku/>
              <w:wordWrap/>
              <w:overflowPunct/>
              <w:topLinePunct w:val="0"/>
              <w:autoSpaceDE/>
              <w:autoSpaceDN/>
              <w:bidi w:val="0"/>
              <w:adjustRightInd/>
              <w:snapToGrid/>
              <w:spacing w:beforeLines="0" w:afterLines="0"/>
              <w:textAlignment w:val="auto"/>
            </w:pPr>
            <w:bookmarkStart w:id="34" w:name="OLE_LINK33"/>
            <w:r>
              <w:rPr>
                <w:rFonts w:cs="Arial"/>
              </w:rPr>
              <w:t xml:space="preserve">&gt; </w:t>
            </w:r>
            <w:r>
              <w:t>400 MHz and &lt; 800 MHz</w:t>
            </w:r>
            <w:bookmarkEnd w:id="34"/>
          </w:p>
        </w:tc>
        <w:tc>
          <w:tcPr>
            <w:tcW w:w="1555" w:type="dxa"/>
          </w:tcPr>
          <w:p>
            <w:pPr>
              <w:pStyle w:val="65"/>
              <w:keepNext/>
              <w:keepLines/>
              <w:pageBreakBefore w:val="0"/>
              <w:widowControl/>
              <w:kinsoku/>
              <w:wordWrap/>
              <w:overflowPunct/>
              <w:topLinePunct w:val="0"/>
              <w:autoSpaceDE/>
              <w:autoSpaceDN/>
              <w:bidi w:val="0"/>
              <w:adjustRightInd/>
              <w:snapToGrid/>
              <w:spacing w:beforeLines="0" w:afterLines="0"/>
              <w:textAlignment w:val="auto"/>
            </w:pPr>
            <w:bookmarkStart w:id="35" w:name="OLE_LINK32"/>
            <w:r>
              <w:rPr>
                <w:rFonts w:cs="Arial"/>
              </w:rPr>
              <w:t>≥</w:t>
            </w:r>
            <w:r>
              <w:t xml:space="preserve"> 800 MHz and </w:t>
            </w:r>
            <w:r>
              <w:rPr>
                <w:rFonts w:cs="Arial"/>
              </w:rPr>
              <w:t>≤</w:t>
            </w:r>
            <w:r>
              <w:t xml:space="preserve"> 1400 MHz</w:t>
            </w:r>
            <w:bookmarkEnd w:id="35"/>
          </w:p>
        </w:tc>
        <w:tc>
          <w:tcPr>
            <w:tcW w:w="1438" w:type="dxa"/>
          </w:tcPr>
          <w:p>
            <w:pPr>
              <w:pStyle w:val="65"/>
              <w:keepNext/>
              <w:keepLines/>
              <w:pageBreakBefore w:val="0"/>
              <w:widowControl/>
              <w:kinsoku/>
              <w:wordWrap/>
              <w:overflowPunct/>
              <w:topLinePunct w:val="0"/>
              <w:autoSpaceDE/>
              <w:autoSpaceDN/>
              <w:bidi w:val="0"/>
              <w:adjustRightInd/>
              <w:snapToGrid/>
              <w:spacing w:beforeLines="0" w:afterLines="0"/>
              <w:textAlignment w:val="auto"/>
              <w:rPr>
                <w:rFonts w:cs="Arial"/>
              </w:rPr>
            </w:pPr>
            <w:bookmarkStart w:id="36" w:name="OLE_LINK31"/>
            <w:r>
              <w:rPr>
                <w:rFonts w:eastAsia="Malgun Gothic" w:cs="Arial"/>
              </w:rPr>
              <w:t>&gt; 14</w:t>
            </w:r>
            <w:r>
              <w:rPr>
                <w:rFonts w:eastAsia="Malgun Gothic"/>
              </w:rPr>
              <w:t xml:space="preserve">00 MHz and </w:t>
            </w:r>
            <w:r>
              <w:rPr>
                <w:rFonts w:eastAsia="Malgun Gothic" w:cs="Arial"/>
              </w:rPr>
              <w:t xml:space="preserve">≤ </w:t>
            </w:r>
            <w:r>
              <w:rPr>
                <w:rFonts w:eastAsia="Malgun Gothic"/>
              </w:rPr>
              <w:t>2400 MHz</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bottom w:val="nil"/>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pPr>
            <w:r>
              <w:t>DFT-s-OFDM</w:t>
            </w:r>
          </w:p>
        </w:tc>
        <w:tc>
          <w:tcPr>
            <w:tcW w:w="1655"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Pi/2 BPSK</w:t>
            </w:r>
          </w:p>
        </w:tc>
        <w:tc>
          <w:tcPr>
            <w:tcW w:w="1774"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 5.0</w:t>
            </w:r>
            <w:r>
              <w:rPr>
                <w:vertAlign w:val="superscript"/>
              </w:rPr>
              <w:t>1</w:t>
            </w:r>
          </w:p>
        </w:tc>
        <w:tc>
          <w:tcPr>
            <w:tcW w:w="154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lang w:eastAsia="en-GB"/>
              </w:rPr>
              <w:t>≤ 7.7</w:t>
            </w:r>
          </w:p>
        </w:tc>
        <w:tc>
          <w:tcPr>
            <w:tcW w:w="1555"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8.2</w:t>
            </w:r>
          </w:p>
        </w:tc>
        <w:tc>
          <w:tcPr>
            <w:tcW w:w="1438"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nil"/>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QPSK</w:t>
            </w:r>
          </w:p>
        </w:tc>
        <w:tc>
          <w:tcPr>
            <w:tcW w:w="1774"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 5.0</w:t>
            </w:r>
            <w:r>
              <w:rPr>
                <w:vertAlign w:val="superscript"/>
              </w:rPr>
              <w:t>1</w:t>
            </w:r>
          </w:p>
        </w:tc>
        <w:tc>
          <w:tcPr>
            <w:tcW w:w="1540"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lang w:eastAsia="en-GB"/>
              </w:rPr>
              <w:t>≤ 7.7</w:t>
            </w:r>
          </w:p>
        </w:tc>
        <w:tc>
          <w:tcPr>
            <w:tcW w:w="1555"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8.2</w:t>
            </w:r>
          </w:p>
        </w:tc>
        <w:tc>
          <w:tcPr>
            <w:tcW w:w="1438"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nil"/>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16 QAM</w:t>
            </w:r>
          </w:p>
        </w:tc>
        <w:tc>
          <w:tcPr>
            <w:tcW w:w="1774"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 6.5</w:t>
            </w:r>
          </w:p>
        </w:tc>
        <w:tc>
          <w:tcPr>
            <w:tcW w:w="1540"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8.7</w:t>
            </w:r>
          </w:p>
        </w:tc>
        <w:tc>
          <w:tcPr>
            <w:tcW w:w="1555"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9.3</w:t>
            </w:r>
          </w:p>
        </w:tc>
        <w:tc>
          <w:tcPr>
            <w:tcW w:w="1438"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single" w:color="auto" w:sz="4" w:space="0"/>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64 QAM</w:t>
            </w:r>
          </w:p>
        </w:tc>
        <w:tc>
          <w:tcPr>
            <w:tcW w:w="1774"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 9.0</w:t>
            </w:r>
          </w:p>
        </w:tc>
        <w:tc>
          <w:tcPr>
            <w:tcW w:w="1540"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10.7</w:t>
            </w:r>
          </w:p>
        </w:tc>
        <w:tc>
          <w:tcPr>
            <w:tcW w:w="1555"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11.2</w:t>
            </w:r>
          </w:p>
        </w:tc>
        <w:tc>
          <w:tcPr>
            <w:tcW w:w="1438"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bottom w:val="nil"/>
            </w:tcBorders>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textAlignment w:val="auto"/>
            </w:pPr>
            <w:r>
              <w:t>CP-OFDM</w:t>
            </w:r>
          </w:p>
        </w:tc>
        <w:tc>
          <w:tcPr>
            <w:tcW w:w="1655"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QPSK</w:t>
            </w:r>
          </w:p>
        </w:tc>
        <w:tc>
          <w:tcPr>
            <w:tcW w:w="1774"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 5.0</w:t>
            </w:r>
          </w:p>
        </w:tc>
        <w:tc>
          <w:tcPr>
            <w:tcW w:w="1540"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7.5</w:t>
            </w:r>
          </w:p>
        </w:tc>
        <w:tc>
          <w:tcPr>
            <w:tcW w:w="1555"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8.0</w:t>
            </w:r>
          </w:p>
        </w:tc>
        <w:tc>
          <w:tcPr>
            <w:tcW w:w="1438"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bottom w:val="nil"/>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16 QAM</w:t>
            </w:r>
          </w:p>
        </w:tc>
        <w:tc>
          <w:tcPr>
            <w:tcW w:w="1774"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 6.5</w:t>
            </w:r>
          </w:p>
        </w:tc>
        <w:tc>
          <w:tcPr>
            <w:tcW w:w="1540"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8.7</w:t>
            </w:r>
          </w:p>
        </w:tc>
        <w:tc>
          <w:tcPr>
            <w:tcW w:w="1555"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9.2</w:t>
            </w:r>
          </w:p>
        </w:tc>
        <w:tc>
          <w:tcPr>
            <w:tcW w:w="1438"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69" w:type="dxa"/>
            <w:tcBorders>
              <w:top w:val="nil"/>
            </w:tcBorders>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p>
        </w:tc>
        <w:tc>
          <w:tcPr>
            <w:tcW w:w="1655"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64 QAM</w:t>
            </w:r>
          </w:p>
        </w:tc>
        <w:tc>
          <w:tcPr>
            <w:tcW w:w="1774"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textAlignment w:val="auto"/>
            </w:pPr>
            <w:r>
              <w:t>≤ 9.0</w:t>
            </w:r>
          </w:p>
        </w:tc>
        <w:tc>
          <w:tcPr>
            <w:tcW w:w="1540"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10.7</w:t>
            </w:r>
          </w:p>
        </w:tc>
        <w:tc>
          <w:tcPr>
            <w:tcW w:w="1555"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t>≤ 11.2</w:t>
            </w:r>
          </w:p>
        </w:tc>
        <w:tc>
          <w:tcPr>
            <w:tcW w:w="1438" w:type="dxa"/>
          </w:tcPr>
          <w:p>
            <w:pPr>
              <w:pStyle w:val="57"/>
              <w:keepNext/>
              <w:keepLines/>
              <w:pageBreakBefore w:val="0"/>
              <w:widowControl/>
              <w:kinsoku/>
              <w:wordWrap/>
              <w:overflowPunct/>
              <w:topLinePunct w:val="0"/>
              <w:autoSpaceDE/>
              <w:autoSpaceDN/>
              <w:bidi w:val="0"/>
              <w:adjustRightInd/>
              <w:snapToGrid/>
              <w:spacing w:beforeLines="0" w:afterLines="0"/>
              <w:textAlignment w:val="auto"/>
            </w:pPr>
            <w:r>
              <w:rPr>
                <w:rFonts w:cs="Arial"/>
                <w:szCs w:val="18"/>
                <w:lang w:val="en-US"/>
              </w:rPr>
              <w:t>≤ 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31" w:type="dxa"/>
            <w:gridSpan w:val="6"/>
            <w:shd w:val="clear" w:color="auto" w:fill="auto"/>
            <w:vAlign w:val="center"/>
          </w:tcPr>
          <w:p>
            <w:pPr>
              <w:pStyle w:val="70"/>
              <w:keepNext/>
              <w:keepLines/>
              <w:pageBreakBefore w:val="0"/>
              <w:widowControl/>
              <w:kinsoku/>
              <w:wordWrap/>
              <w:overflowPunct/>
              <w:topLinePunct w:val="0"/>
              <w:autoSpaceDE/>
              <w:autoSpaceDN/>
              <w:bidi w:val="0"/>
              <w:adjustRightInd/>
              <w:snapToGrid/>
              <w:spacing w:beforeLines="0" w:afterLines="0"/>
              <w:textAlignment w:val="auto"/>
              <w:rPr>
                <w:lang w:eastAsia="ko-KR"/>
              </w:rPr>
            </w:pPr>
            <w:r>
              <w:rPr>
                <w:lang w:eastAsia="ko-KR"/>
              </w:rPr>
              <w:t>NOTE 1:</w:t>
            </w:r>
            <w:r>
              <w:tab/>
            </w:r>
            <w:r>
              <w:rPr>
                <w:lang w:eastAsia="ko-KR"/>
              </w:rPr>
              <w:t>(Void).</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sz w:val="20"/>
          <w:lang w:val="en-US" w:eastAsia="zh-CN"/>
        </w:rPr>
      </w:pPr>
      <w:r>
        <w:rPr>
          <w:rFonts w:hint="eastAsia" w:cs="Times New Roman"/>
          <w:sz w:val="20"/>
          <w:szCs w:val="20"/>
          <w:lang w:val="en-US" w:eastAsia="zh-CN"/>
        </w:rPr>
        <w:t xml:space="preserve">So we think </w:t>
      </w:r>
      <w:bookmarkStart w:id="37" w:name="OLE_LINK36"/>
      <w:r>
        <w:rPr>
          <w:rFonts w:hint="eastAsia" w:cs="Times New Roman"/>
          <w:sz w:val="20"/>
          <w:szCs w:val="20"/>
          <w:lang w:val="en-US" w:eastAsia="zh-CN"/>
        </w:rPr>
        <w:t xml:space="preserve">when the Scells are deactivated to make </w:t>
      </w:r>
      <w:r>
        <w:rPr>
          <w:rFonts w:hint="eastAsia"/>
          <w:sz w:val="20"/>
          <w:lang w:val="en-US" w:eastAsia="zh-CN"/>
        </w:rPr>
        <w:t>CABW group switched, then the MPR requirements in the switched CABW group can be re-used</w:t>
      </w:r>
      <w:bookmarkEnd w:id="37"/>
      <w:r>
        <w:rPr>
          <w:rFonts w:hint="eastAsia"/>
          <w:sz w:val="20"/>
          <w:lang w:val="en-US" w:eastAsia="zh-CN"/>
        </w:rPr>
        <w:t xml:space="preserve">. For example, if the CABW group is switched from </w:t>
      </w:r>
      <w:r>
        <w:rPr>
          <w:rFonts w:hint="default"/>
          <w:sz w:val="20"/>
          <w:lang w:val="en-US" w:eastAsia="zh-CN"/>
        </w:rPr>
        <w:t>‘</w:t>
      </w:r>
      <w:r>
        <w:rPr>
          <w:rFonts w:cs="Arial"/>
          <w:sz w:val="20"/>
        </w:rPr>
        <w:t>≥</w:t>
      </w:r>
      <w:r>
        <w:rPr>
          <w:sz w:val="20"/>
        </w:rPr>
        <w:t xml:space="preserve"> 800 MHz and </w:t>
      </w:r>
      <w:r>
        <w:rPr>
          <w:rFonts w:cs="Arial"/>
          <w:sz w:val="20"/>
        </w:rPr>
        <w:t>≤</w:t>
      </w:r>
      <w:r>
        <w:rPr>
          <w:sz w:val="20"/>
        </w:rPr>
        <w:t xml:space="preserve"> 1400 MHz</w:t>
      </w:r>
      <w:r>
        <w:rPr>
          <w:rFonts w:hint="default"/>
          <w:sz w:val="20"/>
          <w:lang w:val="en-US" w:eastAsia="zh-CN"/>
        </w:rPr>
        <w:t>’</w:t>
      </w:r>
      <w:r>
        <w:rPr>
          <w:rFonts w:hint="eastAsia"/>
          <w:sz w:val="20"/>
          <w:lang w:val="en-US" w:eastAsia="zh-CN"/>
        </w:rPr>
        <w:t xml:space="preserve"> to </w:t>
      </w:r>
      <w:bookmarkStart w:id="38" w:name="OLE_LINK34"/>
      <w:r>
        <w:rPr>
          <w:rFonts w:hint="default"/>
          <w:sz w:val="20"/>
          <w:lang w:val="en-US" w:eastAsia="zh-CN"/>
        </w:rPr>
        <w:t>‘</w:t>
      </w:r>
      <w:r>
        <w:rPr>
          <w:rFonts w:cs="Arial"/>
          <w:sz w:val="20"/>
        </w:rPr>
        <w:t xml:space="preserve">&gt; </w:t>
      </w:r>
      <w:r>
        <w:rPr>
          <w:sz w:val="20"/>
        </w:rPr>
        <w:t>400 MHz and &lt; 800 MHz</w:t>
      </w:r>
      <w:r>
        <w:rPr>
          <w:rFonts w:hint="default"/>
          <w:sz w:val="20"/>
          <w:lang w:val="en-US" w:eastAsia="zh-CN"/>
        </w:rPr>
        <w:t>’</w:t>
      </w:r>
      <w:bookmarkEnd w:id="38"/>
      <w:r>
        <w:rPr>
          <w:rFonts w:hint="eastAsia"/>
          <w:sz w:val="20"/>
          <w:lang w:val="en-US" w:eastAsia="zh-CN"/>
        </w:rPr>
        <w:t xml:space="preserve">, then the MPR requirements in the switched CABW group of </w:t>
      </w:r>
      <w:r>
        <w:rPr>
          <w:rFonts w:hint="default"/>
          <w:sz w:val="20"/>
          <w:lang w:val="en-US" w:eastAsia="zh-CN"/>
        </w:rPr>
        <w:t>‘</w:t>
      </w:r>
      <w:r>
        <w:rPr>
          <w:rFonts w:cs="Arial"/>
          <w:sz w:val="20"/>
        </w:rPr>
        <w:t xml:space="preserve">&gt; </w:t>
      </w:r>
      <w:r>
        <w:rPr>
          <w:sz w:val="20"/>
        </w:rPr>
        <w:t>400 MHz and &lt; 800 MHz</w:t>
      </w:r>
      <w:r>
        <w:rPr>
          <w:rFonts w:hint="default"/>
          <w:sz w:val="20"/>
          <w:lang w:val="en-US" w:eastAsia="zh-CN"/>
        </w:rPr>
        <w:t>’</w:t>
      </w:r>
      <w:r>
        <w:rPr>
          <w:rFonts w:hint="eastAsia"/>
          <w:sz w:val="20"/>
          <w:lang w:val="en-US" w:eastAsia="zh-CN"/>
        </w:rPr>
        <w:t xml:space="preserve"> can be applied..</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i/>
          <w:iCs/>
          <w:sz w:val="20"/>
          <w:lang w:val="en-US" w:eastAsia="zh-CN"/>
        </w:rPr>
      </w:pPr>
      <w:r>
        <w:rPr>
          <w:rFonts w:hint="eastAsia"/>
          <w:b/>
          <w:bCs/>
          <w:i/>
          <w:iCs/>
          <w:sz w:val="20"/>
          <w:szCs w:val="20"/>
          <w:lang w:val="en-US" w:eastAsia="zh-CN"/>
        </w:rPr>
        <w:t>Proposal 8: For UL intra-band CA, w</w:t>
      </w:r>
      <w:r>
        <w:rPr>
          <w:rFonts w:hint="eastAsia" w:cs="Times New Roman"/>
          <w:b/>
          <w:bCs/>
          <w:i/>
          <w:iCs/>
          <w:sz w:val="20"/>
          <w:szCs w:val="20"/>
          <w:lang w:val="en-US" w:eastAsia="zh-CN"/>
        </w:rPr>
        <w:t xml:space="preserve">hen the Scells are deactivated to make </w:t>
      </w:r>
      <w:r>
        <w:rPr>
          <w:rFonts w:hint="eastAsia"/>
          <w:b/>
          <w:bCs/>
          <w:i/>
          <w:iCs/>
          <w:sz w:val="20"/>
          <w:lang w:val="en-US" w:eastAsia="zh-CN"/>
        </w:rPr>
        <w:t xml:space="preserve">CABW group </w:t>
      </w:r>
      <w:bookmarkStart w:id="39" w:name="OLE_LINK37"/>
      <w:r>
        <w:rPr>
          <w:rFonts w:hint="eastAsia"/>
          <w:b/>
          <w:bCs/>
          <w:i/>
          <w:iCs/>
          <w:sz w:val="20"/>
          <w:lang w:val="en-US" w:eastAsia="zh-CN"/>
        </w:rPr>
        <w:t>switched</w:t>
      </w:r>
      <w:bookmarkEnd w:id="39"/>
      <w:r>
        <w:rPr>
          <w:rFonts w:hint="eastAsia"/>
          <w:b/>
          <w:bCs/>
          <w:i/>
          <w:iCs/>
          <w:sz w:val="20"/>
          <w:lang w:val="en-US" w:eastAsia="zh-CN"/>
        </w:rPr>
        <w:t>, then the MPR requirements in the switched CABW group can be re-used.</w:t>
      </w:r>
    </w:p>
    <w:bookmarkEnd w:id="13"/>
    <w:bookmarkEnd w:id="14"/>
    <w:bookmarkEnd w:id="15"/>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iCs/>
          <w:sz w:val="20"/>
          <w:szCs w:val="20"/>
          <w:lang w:val="en-US" w:eastAsia="zh-CN"/>
        </w:rPr>
      </w:pPr>
      <w:r>
        <w:rPr>
          <w:rFonts w:hint="eastAsia"/>
          <w:b/>
          <w:bCs/>
          <w:i/>
          <w:iCs/>
          <w:sz w:val="20"/>
          <w:szCs w:val="20"/>
          <w:lang w:val="en-US" w:eastAsia="zh-CN"/>
        </w:rPr>
        <w:t>Proposal 1: We propose to focus on the modification of SEM or ACLR for FR1 on a single UL carrier.</w:t>
      </w:r>
    </w:p>
    <w:p>
      <w:pPr>
        <w:rPr>
          <w:rFonts w:hint="eastAsia"/>
          <w:b/>
          <w:bCs/>
          <w:i/>
          <w:iCs/>
          <w:sz w:val="20"/>
          <w:szCs w:val="20"/>
          <w:lang w:val="en-US" w:eastAsia="zh-CN"/>
        </w:rPr>
      </w:pPr>
      <w:r>
        <w:rPr>
          <w:rFonts w:hint="eastAsia"/>
          <w:b/>
          <w:bCs/>
          <w:i/>
          <w:iCs/>
          <w:sz w:val="20"/>
          <w:szCs w:val="20"/>
          <w:lang w:val="en-US" w:eastAsia="zh-CN"/>
        </w:rPr>
        <w:t xml:space="preserve">Observation 1: From our simulation results, it can be observed that MPR reduction is about 0.3 - 0.4 dB for QPSK/ 16QAM for </w:t>
      </w:r>
      <w:r>
        <w:rPr>
          <w:rFonts w:hint="eastAsia" w:ascii="Times New Roman" w:hAnsi="Times New Roman" w:eastAsia="宋体"/>
          <w:b/>
          <w:bCs/>
          <w:i/>
          <w:iCs/>
          <w:sz w:val="20"/>
          <w:szCs w:val="20"/>
          <w:lang w:val="en-US" w:eastAsia="zh-CN"/>
        </w:rPr>
        <w:t>DFT-s-OFDM</w:t>
      </w:r>
      <w:r>
        <w:rPr>
          <w:rFonts w:hint="eastAsia"/>
          <w:b/>
          <w:bCs/>
          <w:i/>
          <w:iCs/>
          <w:sz w:val="20"/>
          <w:szCs w:val="20"/>
          <w:lang w:val="en-US" w:eastAsia="zh-CN"/>
        </w:rPr>
        <w:t xml:space="preserve">/ CP-OFDM when ACLR relaxes 1 dB. MPR reduction can reach 0.7 - 0.8 dB for QPSK/ 16QAM for </w:t>
      </w:r>
      <w:r>
        <w:rPr>
          <w:rFonts w:hint="eastAsia" w:ascii="Times New Roman" w:hAnsi="Times New Roman" w:eastAsia="宋体"/>
          <w:b/>
          <w:bCs/>
          <w:i/>
          <w:iCs/>
          <w:sz w:val="20"/>
          <w:szCs w:val="20"/>
          <w:lang w:val="en-US" w:eastAsia="zh-CN"/>
        </w:rPr>
        <w:t>DFT-s-OFDM</w:t>
      </w:r>
      <w:r>
        <w:rPr>
          <w:rFonts w:hint="eastAsia"/>
          <w:b/>
          <w:bCs/>
          <w:i/>
          <w:iCs/>
          <w:sz w:val="20"/>
          <w:szCs w:val="20"/>
          <w:lang w:val="en-US" w:eastAsia="zh-CN"/>
        </w:rPr>
        <w:t>/ CP-OFDM when ACLR is relaxed by 2 dB.</w:t>
      </w:r>
    </w:p>
    <w:p>
      <w:pPr>
        <w:rPr>
          <w:rFonts w:hint="default"/>
          <w:b w:val="0"/>
          <w:sz w:val="20"/>
          <w:szCs w:val="20"/>
          <w:lang w:val="en-US" w:eastAsia="zh-CN"/>
        </w:rPr>
      </w:pPr>
      <w:r>
        <w:rPr>
          <w:rFonts w:hint="eastAsia"/>
          <w:b/>
          <w:bCs/>
          <w:i/>
          <w:iCs/>
          <w:sz w:val="20"/>
          <w:szCs w:val="20"/>
          <w:lang w:val="en-US" w:eastAsia="zh-CN"/>
        </w:rPr>
        <w:t>Proposal 2: Relax UE ACLR/SEM requirement can be further MPR boosting, how much ACLR/SEM can be relaxed needs more discussions such as co-existence study.</w:t>
      </w:r>
    </w:p>
    <w:p>
      <w:pPr>
        <w:rPr>
          <w:rFonts w:hint="default"/>
          <w:b/>
          <w:bCs/>
          <w:i/>
          <w:iCs/>
          <w:sz w:val="20"/>
          <w:szCs w:val="20"/>
          <w:lang w:val="en-US" w:eastAsia="zh-CN"/>
        </w:rPr>
      </w:pPr>
      <w:r>
        <w:rPr>
          <w:rFonts w:hint="eastAsia"/>
          <w:b/>
          <w:bCs/>
          <w:i/>
          <w:iCs/>
          <w:sz w:val="20"/>
          <w:szCs w:val="20"/>
          <w:lang w:val="en-US" w:eastAsia="zh-CN"/>
        </w:rPr>
        <w:t xml:space="preserve">Proposal 3: For FR1, there are two scenarios should be considered: relaxing one side starting point of ACLR, SEM domain, and relaxing both sides. </w:t>
      </w:r>
    </w:p>
    <w:p>
      <w:pPr>
        <w:keepNext w:val="0"/>
        <w:keepLines w:val="0"/>
        <w:widowControl/>
        <w:suppressLineNumbers w:val="0"/>
        <w:jc w:val="both"/>
        <w:rPr>
          <w:rFonts w:hint="default"/>
          <w:sz w:val="20"/>
          <w:highlight w:val="none"/>
          <w:lang w:val="en-US" w:eastAsia="zh-CN"/>
        </w:rPr>
      </w:pPr>
      <w:r>
        <w:rPr>
          <w:rFonts w:hint="eastAsia"/>
          <w:b/>
          <w:bCs/>
          <w:i/>
          <w:iCs/>
          <w:sz w:val="20"/>
          <w:szCs w:val="20"/>
          <w:lang w:val="en-US" w:eastAsia="zh-CN"/>
        </w:rPr>
        <w:t xml:space="preserve">Proposal 4: </w:t>
      </w:r>
      <w:r>
        <w:rPr>
          <w:rFonts w:hint="eastAsia"/>
          <w:b/>
          <w:bCs/>
          <w:i/>
          <w:iCs/>
          <w:sz w:val="20"/>
          <w:lang w:eastAsia="zh-CN"/>
        </w:rPr>
        <w:t>I</w:t>
      </w:r>
      <w:r>
        <w:rPr>
          <w:rFonts w:hint="eastAsia"/>
          <w:b/>
          <w:bCs/>
          <w:i/>
          <w:iCs/>
          <w:sz w:val="20"/>
        </w:rPr>
        <w:t>t is proposed that for intra-band UL CA without indicating dualPA-Architecture support, the MPR requirements of single CC operation for PC 2 and PC 3 can be followed when the UL Scell is deactivated.</w:t>
      </w:r>
    </w:p>
    <w:p>
      <w:pPr>
        <w:keepNext w:val="0"/>
        <w:keepLines w:val="0"/>
        <w:widowControl/>
        <w:suppressLineNumbers w:val="0"/>
        <w:jc w:val="both"/>
        <w:rPr>
          <w:rFonts w:hint="default"/>
          <w:i w:val="0"/>
          <w:iCs w:val="0"/>
          <w:sz w:val="20"/>
          <w:szCs w:val="20"/>
          <w:highlight w:val="yellow"/>
          <w:lang w:val="en-US" w:eastAsia="zh-CN"/>
        </w:rPr>
      </w:pPr>
      <w:r>
        <w:rPr>
          <w:rFonts w:hint="eastAsia"/>
          <w:b/>
          <w:bCs/>
          <w:i/>
          <w:iCs/>
          <w:sz w:val="20"/>
          <w:szCs w:val="20"/>
          <w:lang w:val="en-US" w:eastAsia="zh-CN"/>
        </w:rPr>
        <w:t>Proposal 5: It is feasible for intra-band UL CA with TxD supported, when the UL Scell is deactivated, to follow the MPR/A-MPR requirements specified for the corresponding bands with txDiversity-r16 capability.</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b/>
          <w:bCs/>
          <w:i/>
          <w:iCs/>
          <w:sz w:val="20"/>
          <w:szCs w:val="20"/>
          <w:lang w:val="en-US" w:eastAsia="zh-CN"/>
        </w:rPr>
      </w:pPr>
      <w:r>
        <w:rPr>
          <w:rFonts w:hint="eastAsia"/>
          <w:b/>
          <w:bCs/>
          <w:i/>
          <w:iCs/>
          <w:sz w:val="20"/>
          <w:szCs w:val="20"/>
          <w:lang w:val="en-US" w:eastAsia="zh-CN"/>
        </w:rPr>
        <w:t>Proposal 6: To enhance the MPR requirement, it is feasible to define the MPR for FR2 intra-band CA based on UL BW.</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20" w:beforeLines="0" w:after="120" w:afterLines="0" w:line="240" w:lineRule="auto"/>
        <w:textAlignment w:val="baseline"/>
        <w:rPr>
          <w:rFonts w:hint="default"/>
          <w:b/>
          <w:bCs/>
          <w:i/>
          <w:iCs/>
          <w:sz w:val="20"/>
          <w:szCs w:val="20"/>
          <w:lang w:val="en-US" w:eastAsia="zh-CN"/>
        </w:rPr>
      </w:pPr>
      <w:r>
        <w:rPr>
          <w:rFonts w:hint="eastAsia"/>
          <w:b/>
          <w:bCs/>
          <w:i/>
          <w:iCs/>
          <w:sz w:val="20"/>
          <w:szCs w:val="20"/>
          <w:lang w:val="en-US" w:eastAsia="zh-CN"/>
        </w:rPr>
        <w:t>Proposal 7: For DL CA only for FR2 intra-band CA, reuse the MPR requirements defined for UL single carrier.</w:t>
      </w:r>
    </w:p>
    <w:p>
      <w:pPr>
        <w:widowControl w:val="0"/>
        <w:numPr>
          <w:ilvl w:val="0"/>
          <w:numId w:val="0"/>
        </w:numPr>
        <w:overflowPunct w:val="0"/>
        <w:autoSpaceDE w:val="0"/>
        <w:autoSpaceDN w:val="0"/>
        <w:adjustRightInd w:val="0"/>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8: For UL intra-band CA, w</w:t>
      </w:r>
      <w:r>
        <w:rPr>
          <w:rFonts w:hint="eastAsia" w:cs="Times New Roman"/>
          <w:b/>
          <w:bCs/>
          <w:i/>
          <w:iCs/>
          <w:sz w:val="20"/>
          <w:szCs w:val="20"/>
          <w:lang w:val="en-US" w:eastAsia="zh-CN"/>
        </w:rPr>
        <w:t xml:space="preserve">hen the Scells are deactivated to make </w:t>
      </w:r>
      <w:r>
        <w:rPr>
          <w:rFonts w:hint="eastAsia"/>
          <w:b/>
          <w:bCs/>
          <w:i/>
          <w:iCs/>
          <w:sz w:val="20"/>
          <w:lang w:val="en-US" w:eastAsia="zh-CN"/>
        </w:rPr>
        <w:t>CABW group switched, then the MPR requirements in the switched CABW group can be re-used.</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bookmarkStart w:id="40" w:name="_GoBack"/>
      <w:bookmarkEnd w:id="40"/>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w:t>
      </w:r>
      <w:r>
        <w:rPr>
          <w:rFonts w:hint="eastAsia"/>
          <w:color w:val="auto"/>
          <w:sz w:val="20"/>
          <w:szCs w:val="20"/>
          <w:lang w:val="en-US" w:eastAsia="zh-CN"/>
        </w:rPr>
        <w:t>P</w:t>
      </w:r>
      <w:r>
        <w:rPr>
          <w:rFonts w:hint="default"/>
          <w:color w:val="auto"/>
          <w:sz w:val="20"/>
          <w:szCs w:val="20"/>
          <w:lang w:val="en-US" w:eastAsia="zh-CN"/>
        </w:rPr>
        <w:t>-2</w:t>
      </w:r>
      <w:r>
        <w:rPr>
          <w:rFonts w:hint="eastAsia"/>
          <w:color w:val="auto"/>
          <w:sz w:val="20"/>
          <w:szCs w:val="20"/>
          <w:lang w:val="en-US" w:eastAsia="zh-CN"/>
        </w:rPr>
        <w:t xml:space="preserve">40453, </w:t>
      </w:r>
      <w:r>
        <w:rPr>
          <w:rFonts w:hint="default"/>
          <w:color w:val="auto"/>
          <w:sz w:val="20"/>
          <w:szCs w:val="20"/>
          <w:lang w:val="en-US" w:eastAsia="zh-CN"/>
        </w:rPr>
        <w:t>MediaTek Views on RAN4 Rel-19: RF</w:t>
      </w:r>
      <w:r>
        <w:rPr>
          <w:rFonts w:hint="eastAsia" w:cs="Times New Roman"/>
          <w:b w:val="0"/>
          <w:bCs w:val="0"/>
          <w:color w:val="auto"/>
          <w:sz w:val="20"/>
          <w:szCs w:val="20"/>
          <w:highlight w:val="none"/>
          <w:lang w:val="en-US" w:eastAsia="zh-CN"/>
        </w:rPr>
        <w:t>, MediaTek</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cs="Times New Roman"/>
          <w:b w:val="0"/>
          <w:bCs w:val="0"/>
          <w:color w:val="auto"/>
          <w:sz w:val="20"/>
          <w:szCs w:val="20"/>
          <w:highlight w:val="none"/>
          <w:lang w:val="en-US" w:eastAsia="zh-CN"/>
        </w:rPr>
        <w:t>R4-2217745, WF on enhancements to reduce MPR/PAR, Nokia, Nokia Shanghai Bell</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kern w:val="0"/>
          <w:sz w:val="28"/>
          <w:szCs w:val="28"/>
          <w:highlight w:val="none"/>
          <w:lang w:val="en-US" w:eastAsia="zh-CN"/>
        </w:rPr>
      </w:pPr>
      <w:r>
        <w:rPr>
          <w:rFonts w:hint="eastAsia"/>
          <w:b/>
          <w:kern w:val="0"/>
          <w:sz w:val="28"/>
          <w:szCs w:val="28"/>
          <w:highlight w:val="none"/>
          <w:lang w:val="en-US" w:eastAsia="zh-CN"/>
        </w:rPr>
        <w:t>5 Annex</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eastAsia"/>
          <w:b/>
          <w:bCs/>
          <w:sz w:val="20"/>
          <w:szCs w:val="18"/>
          <w:lang w:val="en-US" w:eastAsia="zh-CN"/>
        </w:rPr>
      </w:pPr>
      <w:r>
        <w:rPr>
          <w:rFonts w:hint="eastAsia"/>
          <w:b/>
          <w:bCs/>
          <w:sz w:val="20"/>
          <w:szCs w:val="18"/>
          <w:lang w:val="en-US" w:eastAsia="zh-CN"/>
        </w:rPr>
        <w:t>Table 5.1: MPR with ACLR relaxation for DFT-s-OFDM</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tbl>
      <w:tblPr>
        <w:tblStyle w:val="23"/>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1163"/>
        <w:gridCol w:w="809"/>
        <w:gridCol w:w="791"/>
        <w:gridCol w:w="895"/>
        <w:gridCol w:w="862"/>
        <w:gridCol w:w="676"/>
        <w:gridCol w:w="1063"/>
        <w:gridCol w:w="775"/>
        <w:gridCol w:w="973"/>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hint="default" w:ascii="Calibri" w:hAnsi="Calibri" w:eastAsia="Times New Roman"/>
                <w:b/>
                <w:color w:val="0000FF"/>
                <w:sz w:val="16"/>
                <w:szCs w:val="16"/>
                <w:lang w:val="en-US" w:eastAsia="zh-CN"/>
              </w:rPr>
            </w:pPr>
            <w:r>
              <w:rPr>
                <w:rFonts w:hint="eastAsia" w:ascii="Calibri" w:hAnsi="Calibri" w:eastAsia="Times New Roman"/>
                <w:b/>
                <w:color w:val="0000FF"/>
                <w:sz w:val="16"/>
                <w:szCs w:val="16"/>
                <w:lang w:val="en-US" w:eastAsia="zh-CN"/>
              </w:rPr>
              <w:t>DFT-s-OFDM</w:t>
            </w:r>
          </w:p>
        </w:tc>
        <w:tc>
          <w:tcPr>
            <w:tcW w:w="1364" w:type="pct"/>
            <w:gridSpan w:val="3"/>
            <w:shd w:val="clear" w:color="000000" w:fill="DCE6F1"/>
            <w:noWrap/>
            <w:vAlign w:val="center"/>
          </w:tcPr>
          <w:p>
            <w:pPr>
              <w:jc w:val="center"/>
              <w:rPr>
                <w:rFonts w:ascii="Calibri" w:hAnsi="Calibri" w:eastAsia="Times New Roman"/>
                <w:b/>
                <w:color w:val="0000FF"/>
                <w:sz w:val="16"/>
                <w:szCs w:val="16"/>
                <w:lang w:val="en-US" w:eastAsia="zh-CN"/>
              </w:rPr>
            </w:pPr>
          </w:p>
        </w:tc>
        <w:tc>
          <w:tcPr>
            <w:tcW w:w="1200" w:type="pct"/>
            <w:gridSpan w:val="3"/>
            <w:shd w:val="clear" w:color="000000" w:fill="DCE6F1"/>
            <w:noWrap/>
            <w:vAlign w:val="center"/>
          </w:tcPr>
          <w:p>
            <w:pPr>
              <w:jc w:val="center"/>
              <w:rPr>
                <w:rFonts w:hint="eastAsia"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ACLR = 30dB (default)</w:t>
            </w:r>
          </w:p>
        </w:tc>
        <w:tc>
          <w:tcPr>
            <w:tcW w:w="907" w:type="pct"/>
            <w:gridSpan w:val="2"/>
            <w:shd w:val="clear" w:color="000000" w:fill="DCE6F1"/>
            <w:noWrap/>
            <w:vAlign w:val="center"/>
          </w:tcPr>
          <w:p>
            <w:pPr>
              <w:jc w:val="center"/>
              <w:rPr>
                <w:rFonts w:hint="eastAsia" w:ascii="Calibri" w:hAnsi="Calibri" w:eastAsia="Times New Roman"/>
                <w:b/>
                <w:color w:val="8064A2" w:themeColor="accent4"/>
                <w:sz w:val="16"/>
                <w:szCs w:val="16"/>
                <w:lang w:val="en-US" w:eastAsia="zh-CN"/>
                <w14:textFill>
                  <w14:solidFill>
                    <w14:schemeClr w14:val="accent4"/>
                  </w14:solidFill>
                </w14:textFill>
              </w:rPr>
            </w:pPr>
            <w:r>
              <w:rPr>
                <w:rFonts w:hint="eastAsia" w:ascii="Calibri" w:hAnsi="Calibri" w:eastAsia="Times New Roman"/>
                <w:b/>
                <w:color w:val="8064A2" w:themeColor="accent4"/>
                <w:sz w:val="16"/>
                <w:szCs w:val="16"/>
                <w:lang w:val="en-US" w:eastAsia="zh-CN"/>
                <w14:textFill>
                  <w14:solidFill>
                    <w14:schemeClr w14:val="accent4"/>
                  </w14:solidFill>
                </w14:textFill>
              </w:rPr>
              <w:t>ACLR = 29dB</w:t>
            </w:r>
          </w:p>
        </w:tc>
        <w:tc>
          <w:tcPr>
            <w:tcW w:w="902" w:type="pct"/>
            <w:gridSpan w:val="2"/>
            <w:shd w:val="clear" w:color="000000" w:fill="DCE6F1"/>
            <w:noWrap/>
            <w:vAlign w:val="center"/>
          </w:tcPr>
          <w:p>
            <w:pPr>
              <w:jc w:val="center"/>
              <w:rPr>
                <w:rFonts w:hint="default" w:ascii="Calibri" w:hAnsi="Calibri" w:eastAsia="Times New Roman"/>
                <w:b/>
                <w:color w:val="00B050"/>
                <w:sz w:val="16"/>
                <w:szCs w:val="16"/>
                <w:lang w:val="en-US" w:eastAsia="zh-CN"/>
              </w:rPr>
            </w:pPr>
            <w:r>
              <w:rPr>
                <w:rFonts w:hint="eastAsia" w:ascii="Calibri" w:hAnsi="Calibri" w:eastAsia="Times New Roman"/>
                <w:b/>
                <w:color w:val="00B050"/>
                <w:sz w:val="16"/>
                <w:szCs w:val="16"/>
                <w:lang w:val="en-US" w:eastAsia="zh-CN"/>
              </w:rPr>
              <w:t>ACLR = 28dB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Modulation</w:t>
            </w:r>
          </w:p>
        </w:tc>
        <w:tc>
          <w:tcPr>
            <w:tcW w:w="574"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[RB start, RB Num]</w:t>
            </w:r>
          </w:p>
        </w:tc>
        <w:tc>
          <w:tcPr>
            <w:tcW w:w="399"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SCS [KHz]</w:t>
            </w:r>
          </w:p>
        </w:tc>
        <w:tc>
          <w:tcPr>
            <w:tcW w:w="390"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BW [MHz]</w:t>
            </w:r>
          </w:p>
        </w:tc>
        <w:tc>
          <w:tcPr>
            <w:tcW w:w="441" w:type="pct"/>
            <w:shd w:val="clear" w:color="000000" w:fill="DCE6F1"/>
            <w:noWrap/>
            <w:vAlign w:val="center"/>
          </w:tcPr>
          <w:p>
            <w:pPr>
              <w:jc w:val="center"/>
              <w:rPr>
                <w:rFonts w:ascii="Calibri" w:hAnsi="Calibri" w:eastAsia="Times New Roman" w:cs="Times New Roman"/>
                <w:b/>
                <w:color w:val="C0504D" w:themeColor="accent2"/>
                <w:sz w:val="16"/>
                <w:szCs w:val="16"/>
                <w:lang w:val="en-US" w:eastAsia="zh-CN" w:bidi="ar-SA"/>
                <w14:textFill>
                  <w14:solidFill>
                    <w14:schemeClr w14:val="accent2"/>
                  </w14:solidFill>
                </w14:textFill>
              </w:rPr>
            </w:pPr>
            <w:r>
              <w:rPr>
                <w:rFonts w:ascii="Calibri" w:hAnsi="Calibri" w:eastAsia="Times New Roman"/>
                <w:b/>
                <w:color w:val="C0504D" w:themeColor="accent2"/>
                <w:sz w:val="16"/>
                <w:szCs w:val="16"/>
                <w:lang w:val="en-US" w:eastAsia="zh-CN"/>
                <w14:textFill>
                  <w14:solidFill>
                    <w14:schemeClr w14:val="accent2"/>
                  </w14:solidFill>
                </w14:textFill>
              </w:rPr>
              <w:t>Limiting factor</w:t>
            </w:r>
          </w:p>
        </w:tc>
        <w:tc>
          <w:tcPr>
            <w:tcW w:w="425" w:type="pct"/>
            <w:shd w:val="clear" w:color="000000" w:fill="DCE6F1"/>
            <w:noWrap/>
            <w:vAlign w:val="center"/>
          </w:tcPr>
          <w:p>
            <w:pPr>
              <w:jc w:val="center"/>
              <w:rPr>
                <w:rFonts w:ascii="Calibri" w:hAnsi="Calibri" w:eastAsia="Times New Roman" w:cs="Times New Roman"/>
                <w:b/>
                <w:color w:val="auto"/>
                <w:sz w:val="16"/>
                <w:szCs w:val="16"/>
                <w:lang w:val="en-US" w:eastAsia="zh-CN" w:bidi="ar-SA"/>
              </w:rPr>
            </w:pPr>
            <w:r>
              <w:rPr>
                <w:rFonts w:ascii="Calibri" w:hAnsi="Calibri" w:eastAsia="Times New Roman"/>
                <w:b/>
                <w:color w:val="C0504D"/>
                <w:sz w:val="16"/>
                <w:szCs w:val="16"/>
                <w:lang w:val="en-US" w:eastAsia="zh-CN"/>
              </w:rPr>
              <w:t>MPR [dB]</w:t>
            </w:r>
          </w:p>
        </w:tc>
        <w:tc>
          <w:tcPr>
            <w:tcW w:w="333" w:type="pct"/>
            <w:shd w:val="clear" w:color="000000" w:fill="DCE6F1"/>
            <w:noWrap/>
            <w:vAlign w:val="center"/>
          </w:tcPr>
          <w:p>
            <w:pPr>
              <w:jc w:val="center"/>
              <w:rPr>
                <w:rFonts w:hint="default"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spec</w:t>
            </w:r>
          </w:p>
        </w:tc>
        <w:tc>
          <w:tcPr>
            <w:tcW w:w="524"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Limiting factor</w:t>
            </w:r>
          </w:p>
        </w:tc>
        <w:tc>
          <w:tcPr>
            <w:tcW w:w="382"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MPR [dB]</w:t>
            </w:r>
          </w:p>
        </w:tc>
        <w:tc>
          <w:tcPr>
            <w:tcW w:w="480"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Limiting factor</w:t>
            </w:r>
          </w:p>
        </w:tc>
        <w:tc>
          <w:tcPr>
            <w:tcW w:w="421"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QPSK</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w:t>
            </w:r>
          </w:p>
        </w:tc>
        <w:tc>
          <w:tcPr>
            <w:tcW w:w="333" w:type="pct"/>
            <w:vMerge w:val="restart"/>
            <w:shd w:val="clear" w:color="000000" w:fill="auto"/>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1</w:t>
            </w:r>
          </w:p>
          <w:p>
            <w:pPr>
              <w:jc w:val="center"/>
              <w:rPr>
                <w:rFonts w:hint="default"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0.63</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highlight w:val="none"/>
                <w:lang w:val="en-US" w:eastAsia="zh-CN"/>
              </w:rPr>
            </w:pPr>
            <w:r>
              <w:rPr>
                <w:rFonts w:hint="eastAsia" w:ascii="Calibri" w:hAnsi="Calibri" w:eastAsia="Times New Roman"/>
                <w:b/>
                <w:bCs/>
                <w:color w:val="auto"/>
                <w:sz w:val="16"/>
                <w:szCs w:val="16"/>
                <w:highlight w:val="none"/>
                <w:lang w:val="en-US" w:eastAsia="zh-CN"/>
              </w:rPr>
              <w:t>1.06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highlight w:val="none"/>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[0,128]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1.06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0.72</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0.93</w:t>
            </w:r>
          </w:p>
        </w:tc>
        <w:tc>
          <w:tcPr>
            <w:tcW w:w="333" w:type="pct"/>
            <w:vMerge w:val="continue"/>
            <w:shd w:val="clear" w:color="000000" w:fill="auto"/>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0.64</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0.68</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0.84</w:t>
            </w:r>
          </w:p>
        </w:tc>
        <w:tc>
          <w:tcPr>
            <w:tcW w:w="333" w:type="pct"/>
            <w:vMerge w:val="continue"/>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p>
        </w:tc>
        <w:tc>
          <w:tcPr>
            <w:tcW w:w="524"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0.5</w:t>
            </w:r>
          </w:p>
        </w:tc>
        <w:tc>
          <w:tcPr>
            <w:tcW w:w="480"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0.1</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SEM</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SEM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0.93</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0.59</w:t>
            </w:r>
          </w:p>
        </w:tc>
        <w:tc>
          <w:tcPr>
            <w:tcW w:w="480"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eastAsia"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0.25</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524" w:type="pct"/>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ACLR</w:t>
            </w:r>
          </w:p>
        </w:tc>
        <w:tc>
          <w:tcPr>
            <w:tcW w:w="382"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0</w:t>
            </w:r>
          </w:p>
        </w:tc>
        <w:tc>
          <w:tcPr>
            <w:tcW w:w="480" w:type="pct"/>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FF0000"/>
                <w:kern w:val="2"/>
                <w:sz w:val="16"/>
                <w:szCs w:val="16"/>
                <w:lang w:val="en-US" w:eastAsia="zh-CN" w:bidi="ar-SA"/>
              </w:rPr>
              <w:t>SEM</w:t>
            </w:r>
          </w:p>
        </w:tc>
        <w:tc>
          <w:tcPr>
            <w:tcW w:w="421"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0.89</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0.58</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0.32</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eastAsia"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w:t>
            </w:r>
          </w:p>
        </w:tc>
        <w:tc>
          <w:tcPr>
            <w:tcW w:w="480" w:type="pct"/>
            <w:shd w:val="clear" w:color="000000" w:fill="DCE6F1"/>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eastAsia"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hint="default"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w:t>
            </w:r>
            <w:r>
              <w:rPr>
                <w:rFonts w:hint="eastAsia" w:ascii="Calibri" w:hAnsi="Calibri" w:eastAsia="Times New Roman"/>
                <w:color w:val="000000"/>
                <w:sz w:val="16"/>
                <w:szCs w:val="16"/>
                <w:lang w:val="en-US" w:eastAsia="zh-CN"/>
              </w:rPr>
              <w:t>16QAM</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1.48</w:t>
            </w:r>
          </w:p>
        </w:tc>
        <w:tc>
          <w:tcPr>
            <w:tcW w:w="333" w:type="pct"/>
            <w:vMerge w:val="restar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2</w:t>
            </w: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highlight w:val="none"/>
                <w:lang w:val="en-US" w:eastAsia="zh-CN" w:bidi="ar-SA"/>
              </w:rPr>
            </w:pPr>
            <w:r>
              <w:rPr>
                <w:rFonts w:hint="eastAsia" w:ascii="Calibri" w:hAnsi="Calibri" w:eastAsia="Times New Roman" w:cs="Times New Roman"/>
                <w:b/>
                <w:bCs/>
                <w:color w:val="auto"/>
                <w:kern w:val="2"/>
                <w:sz w:val="16"/>
                <w:szCs w:val="16"/>
                <w:highlight w:val="none"/>
                <w:lang w:val="en-US" w:eastAsia="zh-CN" w:bidi="ar-SA"/>
              </w:rPr>
              <w:t>1.52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1.7</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1.35</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[0,128]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1.27</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1.7</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1.36</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1.52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b/>
                <w:bCs/>
                <w:color w:val="auto"/>
                <w:sz w:val="16"/>
                <w:szCs w:val="16"/>
                <w:lang w:val="en-US" w:eastAsia="zh-CN"/>
              </w:rPr>
              <w:t>1.56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524"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1.27</w:t>
            </w:r>
          </w:p>
        </w:tc>
        <w:tc>
          <w:tcPr>
            <w:tcW w:w="480"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1.36</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1.07</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0.63</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1.5</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0.81</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0.52</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1.48</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1.15</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0.92</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524"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82"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0.59</w:t>
            </w:r>
          </w:p>
        </w:tc>
        <w:tc>
          <w:tcPr>
            <w:tcW w:w="480"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FF0000"/>
                <w:sz w:val="16"/>
                <w:szCs w:val="16"/>
                <w:lang w:val="en-US" w:eastAsia="zh-CN"/>
              </w:rPr>
              <w:t>EVM</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0.49</w:t>
            </w:r>
          </w:p>
        </w:tc>
      </w:tr>
    </w:tbl>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left"/>
        <w:textAlignment w:val="auto"/>
        <w:rPr>
          <w:rFonts w:hint="eastAsia"/>
          <w:sz w:val="20"/>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left"/>
        <w:textAlignment w:val="auto"/>
        <w:rPr>
          <w:rFonts w:hint="eastAsia"/>
          <w:sz w:val="20"/>
          <w:lang w:val="en-US" w:eastAsia="zh-CN"/>
        </w:rPr>
      </w:pPr>
      <w:r>
        <w:rPr>
          <w:rFonts w:hint="eastAsia"/>
          <w:sz w:val="20"/>
          <w:lang w:val="en-US" w:eastAsia="zh-CN"/>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eastAsia"/>
          <w:b/>
          <w:bCs/>
          <w:sz w:val="20"/>
          <w:szCs w:val="18"/>
        </w:rPr>
      </w:pPr>
      <w:r>
        <w:rPr>
          <w:rFonts w:hint="eastAsia"/>
          <w:b/>
          <w:bCs/>
          <w:sz w:val="20"/>
          <w:szCs w:val="18"/>
        </w:rPr>
        <w:t>Table 5.</w:t>
      </w:r>
      <w:r>
        <w:rPr>
          <w:rFonts w:hint="eastAsia"/>
          <w:b/>
          <w:bCs/>
          <w:sz w:val="20"/>
          <w:szCs w:val="18"/>
          <w:lang w:eastAsia="zh-CN"/>
        </w:rPr>
        <w:t>2</w:t>
      </w:r>
      <w:r>
        <w:rPr>
          <w:rFonts w:hint="eastAsia"/>
          <w:b/>
          <w:bCs/>
          <w:sz w:val="20"/>
          <w:szCs w:val="18"/>
        </w:rPr>
        <w:t xml:space="preserve">: MPR with ACLR relaxation for </w:t>
      </w:r>
      <w:r>
        <w:rPr>
          <w:rFonts w:hint="eastAsia"/>
          <w:b/>
          <w:bCs/>
          <w:sz w:val="20"/>
          <w:szCs w:val="18"/>
          <w:lang w:eastAsia="zh-CN"/>
        </w:rPr>
        <w:t>C</w:t>
      </w:r>
      <w:r>
        <w:rPr>
          <w:rFonts w:hint="eastAsia"/>
          <w:b/>
          <w:bCs/>
          <w:sz w:val="20"/>
          <w:szCs w:val="18"/>
          <w:lang w:val="en-US" w:eastAsia="zh-CN"/>
        </w:rPr>
        <w:t>P</w:t>
      </w:r>
      <w:r>
        <w:rPr>
          <w:rFonts w:hint="eastAsia"/>
          <w:b/>
          <w:bCs/>
          <w:sz w:val="20"/>
          <w:szCs w:val="18"/>
        </w:rPr>
        <w:t>-OFDM</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eastAsia"/>
          <w:b/>
          <w:bCs/>
          <w:sz w:val="20"/>
          <w:szCs w:val="18"/>
        </w:rPr>
      </w:pPr>
    </w:p>
    <w:tbl>
      <w:tblPr>
        <w:tblStyle w:val="23"/>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1163"/>
        <w:gridCol w:w="809"/>
        <w:gridCol w:w="791"/>
        <w:gridCol w:w="895"/>
        <w:gridCol w:w="862"/>
        <w:gridCol w:w="676"/>
        <w:gridCol w:w="984"/>
        <w:gridCol w:w="854"/>
        <w:gridCol w:w="1112"/>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hint="default" w:ascii="Calibri" w:hAnsi="Calibri" w:eastAsia="Times New Roman"/>
                <w:b/>
                <w:color w:val="0000FF"/>
                <w:sz w:val="16"/>
                <w:szCs w:val="16"/>
                <w:lang w:val="en-US" w:eastAsia="zh-CN"/>
              </w:rPr>
            </w:pPr>
            <w:r>
              <w:rPr>
                <w:rFonts w:hint="eastAsia" w:ascii="Calibri" w:hAnsi="Calibri" w:eastAsia="Times New Roman"/>
                <w:b/>
                <w:color w:val="0000FF"/>
                <w:sz w:val="16"/>
                <w:szCs w:val="16"/>
                <w:lang w:val="en-US" w:eastAsia="zh-CN"/>
              </w:rPr>
              <w:t>CP-OFDM</w:t>
            </w:r>
          </w:p>
        </w:tc>
        <w:tc>
          <w:tcPr>
            <w:tcW w:w="1364" w:type="pct"/>
            <w:gridSpan w:val="3"/>
            <w:shd w:val="clear" w:color="000000" w:fill="DCE6F1"/>
            <w:noWrap/>
            <w:vAlign w:val="center"/>
          </w:tcPr>
          <w:p>
            <w:pPr>
              <w:jc w:val="center"/>
              <w:rPr>
                <w:rFonts w:ascii="Calibri" w:hAnsi="Calibri" w:eastAsia="Times New Roman"/>
                <w:b/>
                <w:color w:val="0000FF"/>
                <w:sz w:val="16"/>
                <w:szCs w:val="16"/>
                <w:lang w:val="en-US" w:eastAsia="zh-CN"/>
              </w:rPr>
            </w:pPr>
          </w:p>
        </w:tc>
        <w:tc>
          <w:tcPr>
            <w:tcW w:w="1200" w:type="pct"/>
            <w:gridSpan w:val="3"/>
            <w:shd w:val="clear" w:color="000000" w:fill="DCE6F1"/>
            <w:noWrap/>
            <w:vAlign w:val="center"/>
          </w:tcPr>
          <w:p>
            <w:pPr>
              <w:jc w:val="center"/>
              <w:rPr>
                <w:rFonts w:hint="eastAsia"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ACLR = 30dB (default)</w:t>
            </w:r>
          </w:p>
        </w:tc>
        <w:tc>
          <w:tcPr>
            <w:tcW w:w="907" w:type="pct"/>
            <w:gridSpan w:val="2"/>
            <w:shd w:val="clear" w:color="000000" w:fill="DCE6F1"/>
            <w:noWrap/>
            <w:vAlign w:val="center"/>
          </w:tcPr>
          <w:p>
            <w:pPr>
              <w:jc w:val="center"/>
              <w:rPr>
                <w:rFonts w:hint="eastAsia" w:ascii="Calibri" w:hAnsi="Calibri" w:eastAsia="Times New Roman"/>
                <w:b/>
                <w:color w:val="8064A2" w:themeColor="accent4"/>
                <w:sz w:val="16"/>
                <w:szCs w:val="16"/>
                <w:lang w:val="en-US" w:eastAsia="zh-CN"/>
                <w14:textFill>
                  <w14:solidFill>
                    <w14:schemeClr w14:val="accent4"/>
                  </w14:solidFill>
                </w14:textFill>
              </w:rPr>
            </w:pPr>
            <w:r>
              <w:rPr>
                <w:rFonts w:hint="eastAsia" w:ascii="Calibri" w:hAnsi="Calibri" w:eastAsia="Times New Roman"/>
                <w:b/>
                <w:color w:val="8064A2" w:themeColor="accent4"/>
                <w:sz w:val="16"/>
                <w:szCs w:val="16"/>
                <w:lang w:val="en-US" w:eastAsia="zh-CN"/>
                <w14:textFill>
                  <w14:solidFill>
                    <w14:schemeClr w14:val="accent4"/>
                  </w14:solidFill>
                </w14:textFill>
              </w:rPr>
              <w:t>ACLR = 29dB</w:t>
            </w:r>
          </w:p>
        </w:tc>
        <w:tc>
          <w:tcPr>
            <w:tcW w:w="902" w:type="pct"/>
            <w:gridSpan w:val="2"/>
            <w:shd w:val="clear" w:color="000000" w:fill="DCE6F1"/>
            <w:noWrap/>
            <w:vAlign w:val="center"/>
          </w:tcPr>
          <w:p>
            <w:pPr>
              <w:jc w:val="center"/>
              <w:rPr>
                <w:rFonts w:hint="default" w:ascii="Calibri" w:hAnsi="Calibri" w:eastAsia="Times New Roman"/>
                <w:b/>
                <w:color w:val="00B050"/>
                <w:sz w:val="16"/>
                <w:szCs w:val="16"/>
                <w:lang w:val="en-US" w:eastAsia="zh-CN"/>
              </w:rPr>
            </w:pPr>
            <w:r>
              <w:rPr>
                <w:rFonts w:hint="eastAsia" w:ascii="Calibri" w:hAnsi="Calibri" w:eastAsia="Times New Roman"/>
                <w:b/>
                <w:color w:val="00B050"/>
                <w:sz w:val="16"/>
                <w:szCs w:val="16"/>
                <w:lang w:val="en-US" w:eastAsia="zh-CN"/>
              </w:rPr>
              <w:t>ACLR = 28dB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shd w:val="clear" w:color="auto"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Modulation</w:t>
            </w:r>
          </w:p>
        </w:tc>
        <w:tc>
          <w:tcPr>
            <w:tcW w:w="574"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[RB start, RB Num]</w:t>
            </w:r>
          </w:p>
        </w:tc>
        <w:tc>
          <w:tcPr>
            <w:tcW w:w="399"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SCS [KHz]</w:t>
            </w:r>
          </w:p>
        </w:tc>
        <w:tc>
          <w:tcPr>
            <w:tcW w:w="390" w:type="pct"/>
            <w:shd w:val="clear" w:color="000000" w:fill="DCE6F1"/>
            <w:noWrap/>
            <w:vAlign w:val="center"/>
          </w:tcPr>
          <w:p>
            <w:pPr>
              <w:jc w:val="center"/>
              <w:rPr>
                <w:rFonts w:ascii="Calibri" w:hAnsi="Calibri" w:eastAsia="Times New Roman" w:cs="Times New Roman"/>
                <w:b/>
                <w:color w:val="0000FF"/>
                <w:sz w:val="16"/>
                <w:szCs w:val="16"/>
                <w:lang w:val="en-US" w:eastAsia="zh-CN" w:bidi="ar-SA"/>
              </w:rPr>
            </w:pPr>
            <w:r>
              <w:rPr>
                <w:rFonts w:ascii="Calibri" w:hAnsi="Calibri" w:eastAsia="Times New Roman"/>
                <w:b/>
                <w:color w:val="0000FF"/>
                <w:sz w:val="16"/>
                <w:szCs w:val="16"/>
                <w:lang w:val="en-US" w:eastAsia="zh-CN"/>
              </w:rPr>
              <w:t>BW [MHz]</w:t>
            </w:r>
          </w:p>
        </w:tc>
        <w:tc>
          <w:tcPr>
            <w:tcW w:w="441" w:type="pct"/>
            <w:shd w:val="clear" w:color="000000" w:fill="DCE6F1"/>
            <w:noWrap/>
            <w:vAlign w:val="center"/>
          </w:tcPr>
          <w:p>
            <w:pPr>
              <w:jc w:val="center"/>
              <w:rPr>
                <w:rFonts w:ascii="Calibri" w:hAnsi="Calibri" w:eastAsia="Times New Roman" w:cs="Times New Roman"/>
                <w:b/>
                <w:color w:val="C0504D" w:themeColor="accent2"/>
                <w:sz w:val="16"/>
                <w:szCs w:val="16"/>
                <w:lang w:val="en-US" w:eastAsia="zh-CN" w:bidi="ar-SA"/>
                <w14:textFill>
                  <w14:solidFill>
                    <w14:schemeClr w14:val="accent2"/>
                  </w14:solidFill>
                </w14:textFill>
              </w:rPr>
            </w:pPr>
            <w:r>
              <w:rPr>
                <w:rFonts w:ascii="Calibri" w:hAnsi="Calibri" w:eastAsia="Times New Roman"/>
                <w:b/>
                <w:color w:val="C0504D" w:themeColor="accent2"/>
                <w:sz w:val="16"/>
                <w:szCs w:val="16"/>
                <w:lang w:val="en-US" w:eastAsia="zh-CN"/>
                <w14:textFill>
                  <w14:solidFill>
                    <w14:schemeClr w14:val="accent2"/>
                  </w14:solidFill>
                </w14:textFill>
              </w:rPr>
              <w:t>Limiting factor</w:t>
            </w:r>
          </w:p>
        </w:tc>
        <w:tc>
          <w:tcPr>
            <w:tcW w:w="425" w:type="pct"/>
            <w:shd w:val="clear" w:color="000000" w:fill="DCE6F1"/>
            <w:noWrap/>
            <w:vAlign w:val="center"/>
          </w:tcPr>
          <w:p>
            <w:pPr>
              <w:jc w:val="center"/>
              <w:rPr>
                <w:rFonts w:ascii="Calibri" w:hAnsi="Calibri" w:eastAsia="Times New Roman" w:cs="Times New Roman"/>
                <w:b/>
                <w:color w:val="auto"/>
                <w:sz w:val="16"/>
                <w:szCs w:val="16"/>
                <w:lang w:val="en-US" w:eastAsia="zh-CN" w:bidi="ar-SA"/>
              </w:rPr>
            </w:pPr>
            <w:r>
              <w:rPr>
                <w:rFonts w:ascii="Calibri" w:hAnsi="Calibri" w:eastAsia="Times New Roman"/>
                <w:b/>
                <w:color w:val="C0504D"/>
                <w:sz w:val="16"/>
                <w:szCs w:val="16"/>
                <w:lang w:val="en-US" w:eastAsia="zh-CN"/>
              </w:rPr>
              <w:t>MPR [dB]</w:t>
            </w:r>
          </w:p>
        </w:tc>
        <w:tc>
          <w:tcPr>
            <w:tcW w:w="333" w:type="pct"/>
            <w:shd w:val="clear" w:color="000000" w:fill="DCE6F1"/>
            <w:noWrap/>
            <w:vAlign w:val="center"/>
          </w:tcPr>
          <w:p>
            <w:pPr>
              <w:jc w:val="center"/>
              <w:rPr>
                <w:rFonts w:hint="default" w:ascii="Calibri" w:hAnsi="Calibri" w:eastAsia="Times New Roman"/>
                <w:b/>
                <w:color w:val="C0504D"/>
                <w:sz w:val="16"/>
                <w:szCs w:val="16"/>
                <w:lang w:val="en-US" w:eastAsia="zh-CN"/>
              </w:rPr>
            </w:pPr>
            <w:r>
              <w:rPr>
                <w:rFonts w:hint="eastAsia" w:ascii="Calibri" w:hAnsi="Calibri" w:eastAsia="Times New Roman"/>
                <w:b/>
                <w:color w:val="C0504D"/>
                <w:sz w:val="16"/>
                <w:szCs w:val="16"/>
                <w:lang w:val="en-US" w:eastAsia="zh-CN"/>
              </w:rPr>
              <w:t>spec</w:t>
            </w:r>
          </w:p>
        </w:tc>
        <w:tc>
          <w:tcPr>
            <w:tcW w:w="485"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Limiting factor</w:t>
            </w:r>
          </w:p>
        </w:tc>
        <w:tc>
          <w:tcPr>
            <w:tcW w:w="421" w:type="pct"/>
            <w:shd w:val="clear" w:color="000000" w:fill="DCE6F1"/>
            <w:noWrap/>
            <w:vAlign w:val="center"/>
          </w:tcPr>
          <w:p>
            <w:pPr>
              <w:jc w:val="center"/>
              <w:rPr>
                <w:rFonts w:hint="eastAsia" w:ascii="Calibri" w:hAnsi="Calibri" w:eastAsia="Times New Roman" w:cs="Times New Roman"/>
                <w:b/>
                <w:color w:val="8064A2" w:themeColor="accent4"/>
                <w:kern w:val="2"/>
                <w:sz w:val="16"/>
                <w:szCs w:val="16"/>
                <w:lang w:val="en-US" w:eastAsia="zh-CN" w:bidi="ar-SA"/>
                <w14:textFill>
                  <w14:solidFill>
                    <w14:schemeClr w14:val="accent4"/>
                  </w14:solidFill>
                </w14:textFill>
              </w:rPr>
            </w:pPr>
            <w:r>
              <w:rPr>
                <w:rFonts w:ascii="Calibri" w:hAnsi="Calibri" w:eastAsia="Times New Roman"/>
                <w:b/>
                <w:color w:val="8064A2" w:themeColor="accent4"/>
                <w:sz w:val="16"/>
                <w:szCs w:val="16"/>
                <w:lang w:val="en-US" w:eastAsia="zh-CN"/>
                <w14:textFill>
                  <w14:solidFill>
                    <w14:schemeClr w14:val="accent4"/>
                  </w14:solidFill>
                </w14:textFill>
              </w:rPr>
              <w:t>MPR [dB]</w:t>
            </w:r>
          </w:p>
        </w:tc>
        <w:tc>
          <w:tcPr>
            <w:tcW w:w="549"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Limiting factor</w:t>
            </w:r>
          </w:p>
        </w:tc>
        <w:tc>
          <w:tcPr>
            <w:tcW w:w="353" w:type="pct"/>
            <w:shd w:val="clear" w:color="000000" w:fill="DCE6F1"/>
            <w:noWrap/>
            <w:vAlign w:val="center"/>
          </w:tcPr>
          <w:p>
            <w:pPr>
              <w:jc w:val="center"/>
              <w:rPr>
                <w:rFonts w:hint="eastAsia" w:ascii="Calibri" w:hAnsi="Calibri" w:eastAsia="Times New Roman" w:cs="Times New Roman"/>
                <w:b/>
                <w:color w:val="00B050"/>
                <w:kern w:val="2"/>
                <w:sz w:val="16"/>
                <w:szCs w:val="16"/>
                <w:lang w:val="en-US" w:eastAsia="zh-CN" w:bidi="ar-SA"/>
              </w:rPr>
            </w:pPr>
            <w:r>
              <w:rPr>
                <w:rFonts w:ascii="Calibri" w:hAnsi="Calibri" w:eastAsia="Times New Roman"/>
                <w:b/>
                <w:color w:val="00B050"/>
                <w:sz w:val="16"/>
                <w:szCs w:val="16"/>
                <w:lang w:val="en-US" w:eastAsia="zh-CN"/>
              </w:rP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QPSK</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2.97</w:t>
            </w:r>
          </w:p>
        </w:tc>
        <w:tc>
          <w:tcPr>
            <w:tcW w:w="333" w:type="pct"/>
            <w:vMerge w:val="restart"/>
            <w:shd w:val="clear" w:color="000000" w:fill="auto"/>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3</w:t>
            </w:r>
          </w:p>
          <w:p>
            <w:pPr>
              <w:jc w:val="center"/>
              <w:rPr>
                <w:rFonts w:hint="default"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[0,106]</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highlight w:val="none"/>
                <w:lang w:val="en-US" w:eastAsia="zh-CN"/>
              </w:rPr>
            </w:pPr>
            <w:r>
              <w:rPr>
                <w:rFonts w:hint="eastAsia" w:ascii="Calibri" w:hAnsi="Calibri" w:eastAsia="Times New Roman"/>
                <w:b/>
                <w:bCs/>
                <w:color w:val="auto"/>
                <w:sz w:val="16"/>
                <w:szCs w:val="16"/>
                <w:highlight w:val="none"/>
                <w:lang w:val="en-US" w:eastAsia="zh-CN"/>
              </w:rPr>
              <w:t>3.16</w:t>
            </w:r>
          </w:p>
        </w:tc>
        <w:tc>
          <w:tcPr>
            <w:tcW w:w="333" w:type="pct"/>
            <w:vMerge w:val="continue"/>
            <w:shd w:val="clear" w:color="000000" w:fill="auto"/>
            <w:noWrap/>
            <w:vAlign w:val="center"/>
          </w:tcPr>
          <w:p>
            <w:pPr>
              <w:jc w:val="center"/>
              <w:rPr>
                <w:rFonts w:hint="eastAsia" w:ascii="Calibri" w:hAnsi="Calibri" w:eastAsia="Times New Roman"/>
                <w:color w:val="auto"/>
                <w:sz w:val="16"/>
                <w:szCs w:val="16"/>
                <w:highlight w:val="none"/>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2.76</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[0,133]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2.97</w:t>
            </w:r>
          </w:p>
        </w:tc>
        <w:tc>
          <w:tcPr>
            <w:tcW w:w="333" w:type="pct"/>
            <w:vMerge w:val="continue"/>
            <w:shd w:val="clear" w:color="000000" w:fill="auto"/>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[0,107]</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3.24</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3.1</w:t>
            </w:r>
          </w:p>
        </w:tc>
        <w:tc>
          <w:tcPr>
            <w:tcW w:w="333" w:type="pct"/>
            <w:vMerge w:val="continue"/>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p>
        </w:tc>
        <w:tc>
          <w:tcPr>
            <w:tcW w:w="485"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2.71</w:t>
            </w:r>
          </w:p>
        </w:tc>
        <w:tc>
          <w:tcPr>
            <w:tcW w:w="549"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2.21</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3.15</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2.75</w:t>
            </w:r>
          </w:p>
        </w:tc>
        <w:tc>
          <w:tcPr>
            <w:tcW w:w="549" w:type="pct"/>
            <w:shd w:val="clear" w:color="000000" w:fill="DCE6F1"/>
            <w:noWrap/>
            <w:vAlign w:val="center"/>
          </w:tcPr>
          <w:p>
            <w:pPr>
              <w:jc w:val="center"/>
              <w:rPr>
                <w:rFonts w:hint="eastAsia" w:ascii="Calibri" w:hAnsi="Calibri" w:eastAsia="Times New Roman" w:cs="Times New Roman"/>
                <w:color w:val="auto"/>
                <w:kern w:val="2"/>
                <w:sz w:val="16"/>
                <w:szCs w:val="16"/>
                <w:lang w:val="en-US" w:eastAsia="zh-CN" w:bidi="ar-SA"/>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2.75</w:t>
            </w:r>
          </w:p>
        </w:tc>
        <w:tc>
          <w:tcPr>
            <w:tcW w:w="333" w:type="pct"/>
            <w:vMerge w:val="continue"/>
            <w:shd w:val="clear" w:color="000000" w:fill="DCE6F1"/>
            <w:noWrap/>
            <w:vAlign w:val="center"/>
          </w:tcPr>
          <w:p>
            <w:pPr>
              <w:jc w:val="center"/>
              <w:rPr>
                <w:rFonts w:hint="eastAsia" w:ascii="Calibri" w:hAnsi="Calibri" w:eastAsia="Times New Roman"/>
                <w:color w:val="FF0000"/>
                <w:sz w:val="16"/>
                <w:szCs w:val="16"/>
                <w:lang w:val="en-US" w:eastAsia="zh-CN"/>
              </w:rPr>
            </w:pPr>
          </w:p>
        </w:tc>
        <w:tc>
          <w:tcPr>
            <w:tcW w:w="485" w:type="pct"/>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ACLR</w:t>
            </w:r>
          </w:p>
        </w:tc>
        <w:tc>
          <w:tcPr>
            <w:tcW w:w="421"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2.3</w:t>
            </w:r>
          </w:p>
        </w:tc>
        <w:tc>
          <w:tcPr>
            <w:tcW w:w="549" w:type="pct"/>
            <w:shd w:val="clear" w:color="000000" w:fill="DCE6F1"/>
            <w:noWrap/>
            <w:vAlign w:val="center"/>
          </w:tcPr>
          <w:p>
            <w:pPr>
              <w:jc w:val="center"/>
              <w:rPr>
                <w:rFonts w:hint="default" w:ascii="Calibri" w:hAnsi="Calibri" w:eastAsia="Times New Roman" w:cs="Times New Roman"/>
                <w:color w:val="auto"/>
                <w:kern w:val="2"/>
                <w:sz w:val="16"/>
                <w:szCs w:val="16"/>
                <w:lang w:val="en-US" w:eastAsia="zh-CN" w:bidi="ar-SA"/>
              </w:rPr>
            </w:pPr>
            <w:r>
              <w:rPr>
                <w:rFonts w:hint="eastAsia" w:ascii="Calibri" w:hAnsi="Calibri" w:eastAsia="Times New Roman" w:cs="Times New Roman"/>
                <w:color w:val="auto"/>
                <w:kern w:val="2"/>
                <w:sz w:val="16"/>
                <w:szCs w:val="16"/>
                <w:lang w:val="en-US" w:eastAsia="zh-CN" w:bidi="ar-SA"/>
              </w:rPr>
              <w:t>ACLR</w:t>
            </w:r>
          </w:p>
        </w:tc>
        <w:tc>
          <w:tcPr>
            <w:tcW w:w="353" w:type="pct"/>
            <w:shd w:val="clear" w:color="000000" w:fill="DCE6F1"/>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3.29</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3.1</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2.67</w:t>
            </w:r>
          </w:p>
        </w:tc>
        <w:tc>
          <w:tcPr>
            <w:tcW w:w="549" w:type="pct"/>
            <w:shd w:val="clear" w:color="000000" w:fill="DCE6F1"/>
            <w:noWrap/>
            <w:vAlign w:val="center"/>
          </w:tcPr>
          <w:p>
            <w:pPr>
              <w:jc w:val="center"/>
              <w:rPr>
                <w:rFonts w:hint="eastAsia"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24" w:type="pct"/>
            <w:vMerge w:val="restart"/>
            <w:shd w:val="clear" w:color="auto" w:fill="auto"/>
            <w:noWrap/>
            <w:vAlign w:val="center"/>
          </w:tcPr>
          <w:p>
            <w:pPr>
              <w:jc w:val="center"/>
              <w:rPr>
                <w:rFonts w:hint="default"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w:t>
            </w:r>
            <w:r>
              <w:rPr>
                <w:rFonts w:hint="eastAsia" w:ascii="Calibri" w:hAnsi="Calibri" w:eastAsia="Times New Roman"/>
                <w:color w:val="000000"/>
                <w:sz w:val="16"/>
                <w:szCs w:val="16"/>
                <w:lang w:val="en-US" w:eastAsia="zh-CN"/>
              </w:rPr>
              <w:t>16QAM</w:t>
            </w: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[0,25]</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2.97</w:t>
            </w:r>
          </w:p>
        </w:tc>
        <w:tc>
          <w:tcPr>
            <w:tcW w:w="333" w:type="pct"/>
            <w:vMerge w:val="restar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3</w:t>
            </w: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 xml:space="preserve"> [0,106]</w:t>
            </w:r>
          </w:p>
        </w:tc>
        <w:tc>
          <w:tcPr>
            <w:tcW w:w="399"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highlight w:val="none"/>
                <w:lang w:val="en-US" w:eastAsia="zh-CN"/>
              </w:rPr>
            </w:pPr>
            <w:r>
              <w:rPr>
                <w:rFonts w:ascii="Calibri" w:hAnsi="Calibri" w:eastAsia="Times New Roman"/>
                <w:color w:val="000000"/>
                <w:sz w:val="16"/>
                <w:szCs w:val="16"/>
                <w:highlight w:val="none"/>
                <w:lang w:val="en-US" w:eastAsia="zh-CN"/>
              </w:rPr>
              <w:t>20</w:t>
            </w:r>
          </w:p>
        </w:tc>
        <w:tc>
          <w:tcPr>
            <w:tcW w:w="441" w:type="pct"/>
            <w:shd w:val="clear" w:color="000000" w:fill="auto"/>
            <w:noWrap/>
            <w:vAlign w:val="center"/>
          </w:tcPr>
          <w:p>
            <w:pPr>
              <w:jc w:val="center"/>
              <w:rPr>
                <w:rFonts w:hint="default" w:ascii="Calibri" w:hAnsi="Calibri" w:eastAsia="Times New Roman"/>
                <w:color w:val="000000"/>
                <w:sz w:val="16"/>
                <w:szCs w:val="16"/>
                <w:highlight w:val="none"/>
                <w:lang w:val="en-US" w:eastAsia="zh-CN"/>
              </w:rPr>
            </w:pPr>
            <w:r>
              <w:rPr>
                <w:rFonts w:hint="eastAsia" w:ascii="Calibri" w:hAnsi="Calibri" w:eastAsia="Times New Roman"/>
                <w:color w:val="000000"/>
                <w:sz w:val="16"/>
                <w:szCs w:val="16"/>
                <w:highlight w:val="none"/>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highlight w:val="none"/>
                <w:lang w:val="en-US" w:eastAsia="zh-CN" w:bidi="ar-SA"/>
              </w:rPr>
            </w:pPr>
            <w:r>
              <w:rPr>
                <w:rFonts w:hint="eastAsia" w:ascii="Calibri" w:hAnsi="Calibri" w:eastAsia="Times New Roman" w:cs="Times New Roman"/>
                <w:b/>
                <w:bCs/>
                <w:color w:val="auto"/>
                <w:kern w:val="2"/>
                <w:sz w:val="16"/>
                <w:szCs w:val="16"/>
                <w:highlight w:val="none"/>
                <w:lang w:val="en-US" w:eastAsia="zh-CN" w:bidi="ar-SA"/>
              </w:rPr>
              <w:t>3.15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2.76</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[0,270]</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[0,133]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50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2.84</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[0,273]</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30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100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3.28</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2.88</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[0,18]</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15</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2.98</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 xml:space="preserve"> [0,107]</w:t>
            </w:r>
          </w:p>
        </w:tc>
        <w:tc>
          <w:tcPr>
            <w:tcW w:w="399"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60</w:t>
            </w:r>
          </w:p>
        </w:tc>
        <w:tc>
          <w:tcPr>
            <w:tcW w:w="390" w:type="pct"/>
            <w:shd w:val="clear" w:color="000000" w:fill="auto"/>
            <w:noWrap/>
            <w:vAlign w:val="center"/>
          </w:tcPr>
          <w:p>
            <w:pPr>
              <w:jc w:val="center"/>
              <w:rPr>
                <w:rFonts w:ascii="Calibri" w:hAnsi="Calibri" w:eastAsia="Times New Roman"/>
                <w:color w:val="000000"/>
                <w:sz w:val="16"/>
                <w:szCs w:val="16"/>
                <w:lang w:val="en-US" w:eastAsia="zh-CN"/>
              </w:rPr>
            </w:pPr>
            <w:r>
              <w:rPr>
                <w:rFonts w:ascii="Calibri" w:hAnsi="Calibri" w:eastAsia="Times New Roman"/>
                <w:color w:val="000000"/>
                <w:sz w:val="16"/>
                <w:szCs w:val="16"/>
                <w:lang w:val="en-US" w:eastAsia="zh-CN"/>
              </w:rPr>
              <w:t>80</w:t>
            </w:r>
          </w:p>
        </w:tc>
        <w:tc>
          <w:tcPr>
            <w:tcW w:w="441" w:type="pct"/>
            <w:shd w:val="clear" w:color="000000" w:fill="auto"/>
            <w:noWrap/>
            <w:vAlign w:val="center"/>
          </w:tcPr>
          <w:p>
            <w:pPr>
              <w:jc w:val="center"/>
              <w:rPr>
                <w:rFonts w:hint="default"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ACLR</w:t>
            </w:r>
          </w:p>
        </w:tc>
        <w:tc>
          <w:tcPr>
            <w:tcW w:w="425" w:type="pct"/>
            <w:shd w:val="clear" w:color="000000" w:fill="auto"/>
            <w:noWrap/>
            <w:vAlign w:val="center"/>
          </w:tcPr>
          <w:p>
            <w:pPr>
              <w:jc w:val="center"/>
              <w:rPr>
                <w:rFonts w:hint="default" w:ascii="Calibri" w:hAnsi="Calibri" w:eastAsia="Times New Roman" w:cs="Times New Roman"/>
                <w:b/>
                <w:bCs/>
                <w:color w:val="auto"/>
                <w:kern w:val="2"/>
                <w:sz w:val="16"/>
                <w:szCs w:val="16"/>
                <w:lang w:val="en-US" w:eastAsia="zh-CN" w:bidi="ar-SA"/>
              </w:rPr>
            </w:pPr>
            <w:r>
              <w:rPr>
                <w:rFonts w:hint="eastAsia" w:ascii="Calibri" w:hAnsi="Calibri" w:eastAsia="Times New Roman" w:cs="Times New Roman"/>
                <w:b/>
                <w:bCs/>
                <w:color w:val="auto"/>
                <w:kern w:val="2"/>
                <w:sz w:val="16"/>
                <w:szCs w:val="16"/>
                <w:lang w:val="en-US" w:eastAsia="zh-CN" w:bidi="ar-SA"/>
              </w:rPr>
              <w:t>3.25</w:t>
            </w:r>
          </w:p>
        </w:tc>
        <w:tc>
          <w:tcPr>
            <w:tcW w:w="333" w:type="pct"/>
            <w:vMerge w:val="continue"/>
            <w:shd w:val="clear" w:color="000000" w:fill="auto"/>
            <w:noWrap/>
            <w:vAlign w:val="center"/>
          </w:tcPr>
          <w:p>
            <w:pPr>
              <w:jc w:val="center"/>
              <w:rPr>
                <w:rFonts w:hint="eastAsia" w:ascii="Calibri" w:hAnsi="Calibri" w:eastAsia="Times New Roman"/>
                <w:color w:val="auto"/>
                <w:sz w:val="16"/>
                <w:szCs w:val="16"/>
                <w:lang w:val="en-US" w:eastAsia="zh-CN"/>
              </w:rPr>
            </w:pPr>
          </w:p>
        </w:tc>
        <w:tc>
          <w:tcPr>
            <w:tcW w:w="485"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auto"/>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auto"/>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3.07</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2.71</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15</w:t>
            </w:r>
          </w:p>
        </w:tc>
        <w:tc>
          <w:tcPr>
            <w:tcW w:w="390"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20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2.62</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2.21</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ACLR/SEM</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default"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3.15</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2.75</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30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50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2.75</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2.3</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[0,50]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3.29</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2.85</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24" w:type="pct"/>
            <w:vMerge w:val="continue"/>
            <w:vAlign w:val="center"/>
          </w:tcPr>
          <w:p>
            <w:pPr>
              <w:rPr>
                <w:rFonts w:ascii="Calibri" w:hAnsi="Calibri" w:eastAsia="Times New Roman"/>
                <w:color w:val="000000"/>
                <w:sz w:val="16"/>
                <w:szCs w:val="16"/>
                <w:lang w:val="en-US" w:eastAsia="zh-CN"/>
              </w:rPr>
            </w:pPr>
          </w:p>
        </w:tc>
        <w:tc>
          <w:tcPr>
            <w:tcW w:w="574" w:type="pct"/>
            <w:shd w:val="clear" w:color="000000" w:fill="DCE6F1"/>
            <w:noWrap/>
            <w:vAlign w:val="center"/>
          </w:tcPr>
          <w:p>
            <w:pPr>
              <w:jc w:val="center"/>
              <w:rPr>
                <w:rFonts w:hint="eastAsia" w:ascii="Calibri" w:hAnsi="Calibri" w:eastAsia="Times New Roman"/>
                <w:color w:val="000000"/>
                <w:sz w:val="16"/>
                <w:szCs w:val="16"/>
                <w:lang w:val="en-US" w:eastAsia="zh-CN"/>
              </w:rPr>
            </w:pPr>
            <w:r>
              <w:rPr>
                <w:rFonts w:hint="eastAsia" w:ascii="Calibri" w:hAnsi="Calibri" w:eastAsia="Times New Roman"/>
                <w:color w:val="000000"/>
                <w:sz w:val="16"/>
                <w:szCs w:val="16"/>
                <w:lang w:val="en-US" w:eastAsia="zh-CN"/>
              </w:rPr>
              <w:t>[0,20]</w:t>
            </w:r>
          </w:p>
        </w:tc>
        <w:tc>
          <w:tcPr>
            <w:tcW w:w="399"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60</w:t>
            </w:r>
          </w:p>
        </w:tc>
        <w:tc>
          <w:tcPr>
            <w:tcW w:w="390"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olor w:val="000000"/>
                <w:sz w:val="16"/>
                <w:szCs w:val="16"/>
                <w:lang w:val="en-US" w:eastAsia="zh-CN"/>
              </w:rPr>
              <w:t>80</w:t>
            </w:r>
          </w:p>
        </w:tc>
        <w:tc>
          <w:tcPr>
            <w:tcW w:w="441" w:type="pct"/>
            <w:shd w:val="clear" w:color="000000" w:fill="DCE6F1"/>
            <w:noWrap/>
            <w:vAlign w:val="center"/>
          </w:tcPr>
          <w:p>
            <w:pPr>
              <w:jc w:val="center"/>
              <w:rPr>
                <w:rFonts w:hint="eastAsia" w:ascii="Calibri" w:hAnsi="Calibri" w:eastAsia="Times New Roman" w:cs="Times New Roman"/>
                <w:color w:val="000000"/>
                <w:kern w:val="2"/>
                <w:sz w:val="16"/>
                <w:szCs w:val="16"/>
                <w:lang w:val="en-US" w:eastAsia="zh-CN" w:bidi="ar-SA"/>
              </w:rPr>
            </w:pPr>
            <w:r>
              <w:rPr>
                <w:rFonts w:hint="eastAsia" w:ascii="Calibri" w:hAnsi="Calibri" w:eastAsia="Times New Roman" w:cs="Times New Roman"/>
                <w:color w:val="000000"/>
                <w:kern w:val="2"/>
                <w:sz w:val="16"/>
                <w:szCs w:val="16"/>
                <w:lang w:val="en-US" w:eastAsia="zh-CN" w:bidi="ar-SA"/>
              </w:rPr>
              <w:t>ACLR</w:t>
            </w:r>
          </w:p>
        </w:tc>
        <w:tc>
          <w:tcPr>
            <w:tcW w:w="425"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3.1</w:t>
            </w:r>
          </w:p>
        </w:tc>
        <w:tc>
          <w:tcPr>
            <w:tcW w:w="333" w:type="pct"/>
            <w:vMerge w:val="continue"/>
            <w:shd w:val="clear" w:color="000000" w:fill="DCE6F1"/>
            <w:noWrap/>
            <w:vAlign w:val="center"/>
          </w:tcPr>
          <w:p>
            <w:pPr>
              <w:jc w:val="center"/>
              <w:rPr>
                <w:rFonts w:hint="default" w:ascii="Calibri" w:hAnsi="Calibri" w:eastAsia="Times New Roman"/>
                <w:color w:val="auto"/>
                <w:sz w:val="16"/>
                <w:szCs w:val="16"/>
                <w:lang w:val="en-US" w:eastAsia="zh-CN"/>
              </w:rPr>
            </w:pPr>
          </w:p>
        </w:tc>
        <w:tc>
          <w:tcPr>
            <w:tcW w:w="485"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421"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2.67</w:t>
            </w:r>
          </w:p>
        </w:tc>
        <w:tc>
          <w:tcPr>
            <w:tcW w:w="549" w:type="pct"/>
            <w:shd w:val="clear" w:color="000000" w:fill="DCE6F1"/>
            <w:noWrap/>
            <w:vAlign w:val="center"/>
          </w:tcPr>
          <w:p>
            <w:pPr>
              <w:jc w:val="center"/>
              <w:rPr>
                <w:rFonts w:hint="default" w:ascii="Calibri" w:hAnsi="Calibri" w:eastAsia="Times New Roman"/>
                <w:color w:val="auto"/>
                <w:sz w:val="16"/>
                <w:szCs w:val="16"/>
                <w:lang w:val="en-US" w:eastAsia="zh-CN"/>
              </w:rPr>
            </w:pPr>
            <w:r>
              <w:rPr>
                <w:rFonts w:hint="eastAsia" w:ascii="Calibri" w:hAnsi="Calibri" w:eastAsia="Times New Roman"/>
                <w:color w:val="auto"/>
                <w:sz w:val="16"/>
                <w:szCs w:val="16"/>
                <w:lang w:val="en-US" w:eastAsia="zh-CN"/>
              </w:rPr>
              <w:t>ACLR</w:t>
            </w:r>
          </w:p>
        </w:tc>
        <w:tc>
          <w:tcPr>
            <w:tcW w:w="353" w:type="pct"/>
            <w:shd w:val="clear" w:color="000000" w:fill="DCE6F1"/>
            <w:noWrap/>
            <w:vAlign w:val="center"/>
          </w:tcPr>
          <w:p>
            <w:pPr>
              <w:jc w:val="center"/>
              <w:rPr>
                <w:rFonts w:hint="default" w:ascii="Calibri" w:hAnsi="Calibri" w:eastAsia="Times New Roman"/>
                <w:b/>
                <w:bCs/>
                <w:color w:val="auto"/>
                <w:sz w:val="16"/>
                <w:szCs w:val="16"/>
                <w:lang w:val="en-US" w:eastAsia="zh-CN"/>
              </w:rPr>
            </w:pPr>
            <w:r>
              <w:rPr>
                <w:rFonts w:hint="eastAsia" w:ascii="Calibri" w:hAnsi="Calibri" w:eastAsia="Times New Roman"/>
                <w:b/>
                <w:bCs/>
                <w:color w:val="auto"/>
                <w:sz w:val="16"/>
                <w:szCs w:val="16"/>
                <w:lang w:val="en-US" w:eastAsia="zh-CN"/>
              </w:rPr>
              <w:t>2.25</w:t>
            </w:r>
          </w:p>
        </w:tc>
      </w:tr>
    </w:tbl>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8"/>
  </w:num>
  <w:num w:numId="3">
    <w:abstractNumId w:val="6"/>
  </w:num>
  <w:num w:numId="4">
    <w:abstractNumId w:val="4"/>
  </w:num>
  <w:num w:numId="5">
    <w:abstractNumId w:val="5"/>
  </w:num>
  <w:num w:numId="6">
    <w:abstractNumId w:val="1"/>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636085"/>
    <w:rsid w:val="057D1D66"/>
    <w:rsid w:val="059D265F"/>
    <w:rsid w:val="059E1515"/>
    <w:rsid w:val="05B92EC1"/>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858FF"/>
    <w:rsid w:val="1A4C698A"/>
    <w:rsid w:val="1A4D778D"/>
    <w:rsid w:val="1A5D5219"/>
    <w:rsid w:val="1A5E4B5A"/>
    <w:rsid w:val="1A672B1C"/>
    <w:rsid w:val="1A7070DD"/>
    <w:rsid w:val="1A805F1C"/>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312AC"/>
    <w:rsid w:val="1FEC5915"/>
    <w:rsid w:val="1FED32EF"/>
    <w:rsid w:val="1FF82884"/>
    <w:rsid w:val="201E6D7C"/>
    <w:rsid w:val="20446081"/>
    <w:rsid w:val="204852AD"/>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8526F"/>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F0206"/>
    <w:rsid w:val="43D50BA1"/>
    <w:rsid w:val="43D85D6D"/>
    <w:rsid w:val="43EC6F1F"/>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8E6670"/>
    <w:rsid w:val="5A912613"/>
    <w:rsid w:val="5A9245E9"/>
    <w:rsid w:val="5A953D41"/>
    <w:rsid w:val="5AA75D85"/>
    <w:rsid w:val="5ABC50F4"/>
    <w:rsid w:val="5ACC4940"/>
    <w:rsid w:val="5ACD3CD2"/>
    <w:rsid w:val="5AD7333E"/>
    <w:rsid w:val="5AD86A6D"/>
    <w:rsid w:val="5AE8708E"/>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014BDB"/>
    <w:rsid w:val="621542CB"/>
    <w:rsid w:val="621C2930"/>
    <w:rsid w:val="624263A2"/>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6609B"/>
    <w:rsid w:val="65083216"/>
    <w:rsid w:val="650A57D3"/>
    <w:rsid w:val="65460728"/>
    <w:rsid w:val="654835A8"/>
    <w:rsid w:val="65733E15"/>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74340"/>
    <w:rsid w:val="6B884219"/>
    <w:rsid w:val="6B90781F"/>
    <w:rsid w:val="6BA6663C"/>
    <w:rsid w:val="6BA9194F"/>
    <w:rsid w:val="6BB07973"/>
    <w:rsid w:val="6BCA7437"/>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66E3C"/>
    <w:rsid w:val="77E84D6F"/>
    <w:rsid w:val="77F3789A"/>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E16F93"/>
    <w:rsid w:val="79E701E5"/>
    <w:rsid w:val="79EC0256"/>
    <w:rsid w:val="79F60153"/>
    <w:rsid w:val="79FB6E2C"/>
    <w:rsid w:val="79FF7B91"/>
    <w:rsid w:val="7A36322F"/>
    <w:rsid w:val="7A431242"/>
    <w:rsid w:val="7A444657"/>
    <w:rsid w:val="7A4B3D21"/>
    <w:rsid w:val="7A4C2D60"/>
    <w:rsid w:val="7A5E0869"/>
    <w:rsid w:val="7A69432B"/>
    <w:rsid w:val="7A6E4BF5"/>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2024-04-08T11:58:52Z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